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南银理财珠联璧合鑫逸稳两年76期封闭式公募人民币理财产品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南银理财珠联璧合鑫逸稳两年76期封闭式公募人民币理财产品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ZZ700322400234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Z7003224000113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2024年06月19日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2026年07月08日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749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Y60076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1.0658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3.21%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5,399,322.56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Y61076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1.0679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3.31%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4,937,382.21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Y62076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1.0700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3.41%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312,639.59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67,447.01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858,254.63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302,129.05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583,209.75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12,330.00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2026年07月08日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