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D994C" w14:textId="77777777" w:rsidR="00B55BF8" w:rsidRDefault="00BD35D6">
      <w:pPr>
        <w:jc w:val="center"/>
        <w:rPr>
          <w:rFonts w:ascii="方正黑体简体" w:eastAsia="方正黑体简体" w:hAnsi="仿宋_GB2312" w:cs="仿宋_GB2312"/>
          <w:b/>
          <w:bCs/>
          <w:sz w:val="28"/>
          <w:szCs w:val="28"/>
        </w:rPr>
      </w:pPr>
      <w:r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南银理财珠联璧合理财管理计划2号公募人民币理财产品（Z10030）</w:t>
      </w:r>
      <w:r w:rsidR="00E122B0"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/>
      </w:r>
      <w:r w:rsidR="00744B25">
        <w:rPr>
          <w:rFonts w:ascii="方正黑体简体" w:eastAsia="方正黑体简体" w:hAnsi="仿宋_GB2312" w:cs="仿宋_GB2312"/>
          <w:b/>
          <w:bCs/>
          <w:sz w:val="28"/>
          <w:szCs w:val="28"/>
        </w:rPr>
        <w:t/>
      </w:r>
      <w:r w:rsidR="005416D6" w:rsidRPr="005416D6"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2026年07月01日</w:t>
      </w:r>
    </w:p>
    <w:p w14:paraId="44CEE900" w14:textId="77777777" w:rsidR="00B55BF8" w:rsidRDefault="00BD35D6">
      <w:pPr>
        <w:jc w:val="center"/>
        <w:rPr>
          <w:rFonts w:ascii="方正黑体简体" w:eastAsia="方正黑体简体" w:hAnsi="仿宋_GB2312" w:cs="仿宋_GB2312"/>
          <w:b/>
          <w:bCs/>
          <w:sz w:val="28"/>
          <w:szCs w:val="28"/>
        </w:rPr>
      </w:pPr>
      <w:r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开放及净值公告</w:t>
      </w:r>
    </w:p>
    <w:p w14:paraId="50CD9085" w14:textId="77777777" w:rsidR="00B55BF8" w:rsidRDefault="00BD35D6">
      <w:pPr>
        <w:widowControl w:val="0"/>
        <w:spacing w:line="360" w:lineRule="auto"/>
        <w:rPr>
          <w:rFonts w:ascii="方正仿宋简体" w:eastAsia="方正仿宋简体" w:hAnsi="仿宋_GB2312" w:cs="仿宋_GB2312"/>
          <w:b/>
          <w:bCs/>
          <w:sz w:val="28"/>
          <w:szCs w:val="28"/>
        </w:rPr>
      </w:pPr>
      <w:r>
        <w:rPr>
          <w:rFonts w:ascii="方正仿宋简体" w:eastAsia="方正仿宋简体" w:hAnsi="仿宋_GB2312" w:cs="仿宋_GB2312" w:hint="eastAsia"/>
          <w:szCs w:val="21"/>
        </w:rPr>
        <w:t>尊敬的投资者：</w:t>
      </w:r>
    </w:p>
    <w:p w14:paraId="792E3141" w14:textId="64D3F28F" w:rsidR="00B55BF8" w:rsidRDefault="008018CA">
      <w:pPr>
        <w:widowControl w:val="0"/>
        <w:spacing w:line="360" w:lineRule="auto"/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南银理财理财管理计划2号-财富（产品登记编码</w:t>
      </w:r>
      <w:r w:rsidR="003F1BC0">
        <w:rPr>
          <w:rFonts w:ascii="方正仿宋简体" w:eastAsia="方正仿宋简体" w:hAnsi="仿宋_GB2312" w:cs="仿宋_GB2312" w:hint="eastAsia"/>
          <w:szCs w:val="21"/>
        </w:rPr>
        <w:t>Z7003220000004</w:t>
      </w:r>
      <w:r>
        <w:rPr>
          <w:rFonts w:ascii="方正仿宋简体" w:eastAsia="方正仿宋简体" w:hAnsi="仿宋_GB2312" w:cs="仿宋_GB2312" w:hint="eastAsia"/>
          <w:szCs w:val="21"/>
        </w:rPr>
        <w:t>，内部销售代码Z10030）</w:t>
      </w:r>
      <w:r w:rsidR="00BD35D6">
        <w:rPr>
          <w:rFonts w:ascii="方正仿宋简体" w:eastAsia="方正仿宋简体" w:hAnsi="仿宋_GB2312" w:cs="仿宋_GB2312" w:hint="eastAsia"/>
          <w:szCs w:val="21"/>
        </w:rPr>
        <w:t>于</w:t>
      </w:r>
      <w:r w:rsidR="00EB6BD2">
        <w:rPr>
          <w:rFonts w:ascii="方正仿宋简体" w:eastAsia="方正仿宋简体" w:hAnsi="仿宋_GB2312" w:cs="仿宋_GB2312" w:hint="eastAsia"/>
          <w:szCs w:val="21"/>
        </w:rPr>
        <w:t/>
      </w:r>
      <w:r w:rsidR="00BD35D6">
        <w:rPr>
          <w:rFonts w:ascii="方正仿宋简体" w:eastAsia="方正仿宋简体" w:hAnsi="仿宋_GB2312" w:cs="仿宋_GB2312" w:hint="eastAsia"/>
          <w:szCs w:val="21"/>
        </w:rPr>
        <w:t>2026年06月25日至</w:t>
      </w:r>
      <w:r w:rsidR="000B54F8">
        <w:rPr>
          <w:rFonts w:ascii="方正仿宋简体" w:eastAsia="方正仿宋简体" w:hAnsi="仿宋_GB2312" w:cs="仿宋_GB2312" w:hint="eastAsia"/>
          <w:szCs w:val="21"/>
        </w:rPr>
        <w:t/>
      </w:r>
      <w:r w:rsidR="004C7547">
        <w:rPr>
          <w:rFonts w:ascii="方正仿宋简体" w:eastAsia="方正仿宋简体" w:hAnsi="仿宋_GB2312" w:cs="仿宋_GB2312"/>
          <w:szCs w:val="21"/>
        </w:rPr>
        <w:t/>
      </w:r>
      <w:r w:rsidR="00EC2602">
        <w:rPr>
          <w:rFonts w:ascii="方正仿宋简体" w:eastAsia="方正仿宋简体" w:hAnsi="仿宋_GB2312" w:cs="仿宋_GB2312" w:hint="eastAsia"/>
          <w:szCs w:val="21"/>
        </w:rPr>
        <w:t/>
      </w:r>
      <w:r w:rsidR="00EC2602">
        <w:rPr>
          <w:rFonts w:ascii="方正仿宋简体" w:eastAsia="方正仿宋简体" w:hAnsi="仿宋_GB2312" w:cs="仿宋_GB2312"/>
          <w:szCs w:val="21"/>
        </w:rPr>
        <w:t/>
      </w:r>
      <w:r w:rsidR="00BD35D6">
        <w:rPr>
          <w:rFonts w:ascii="方正仿宋简体" w:eastAsia="方正仿宋简体" w:hAnsi="仿宋_GB2312" w:cs="仿宋_GB2312" w:hint="eastAsia"/>
          <w:szCs w:val="21"/>
        </w:rPr>
        <w:t>2026年07月01日开放申购/赎回。</w:t>
      </w:r>
    </w:p>
    <w:p w14:paraId="7C247CE0" w14:textId="77777777" w:rsidR="00B55BF8" w:rsidRDefault="00BD35D6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_GB2312" w:cs="仿宋_GB2312"/>
          <w:bCs/>
          <w:szCs w:val="21"/>
        </w:rPr>
      </w:pPr>
      <w:r>
        <w:rPr>
          <w:rFonts w:ascii="方正仿宋简体" w:eastAsia="方正仿宋简体" w:hAnsi="仿宋_GB2312" w:cs="仿宋_GB2312" w:hint="eastAsia"/>
          <w:bCs/>
          <w:szCs w:val="21"/>
        </w:rPr>
        <w:t>后续开放日安排：</w:t>
      </w:r>
    </w:p>
    <w:tbl>
      <w:tblPr>
        <w:tblW w:w="9526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 w:firstRow="1" w:lastRow="0" w:firstColumn="1" w:lastColumn="0" w:noHBand="0" w:noVBand="1"/>
      </w:tblPr>
      <w:tblGrid>
        <w:gridCol w:w="3520"/>
        <w:gridCol w:w="2487"/>
        <w:gridCol w:w="3519"/>
      </w:tblGrid>
      <w:tr w:rsidR="00B55BF8" w14:paraId="08B6E435" w14:textId="77777777" w:rsidTr="00732F26">
        <w:trPr>
          <w:trHeight w:val="567"/>
          <w:jc w:val="center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13DBB" w14:textId="77777777" w:rsidR="00B55BF8" w:rsidRDefault="00BD35D6" w:rsidP="008018CA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申购/赎回起止日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9F9CA" w14:textId="77777777" w:rsidR="00B55BF8" w:rsidRDefault="00BD35D6" w:rsidP="008018CA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申购/赎回确认日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07F77" w14:textId="77777777" w:rsidR="00B55BF8" w:rsidRDefault="00BD35D6" w:rsidP="008018CA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赎回资金到账日</w:t>
            </w:r>
          </w:p>
        </w:tc>
      </w:tr>
      <w:tr>
        <w:trPr>
          <w:trHeight w:val="567"/>
          <w:jc w:val="center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2026-07-02至2026-07-08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2026-07-08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2026-07-09</w:t>
            </w:r>
          </w:p>
        </w:tc>
      </w:tr>
    </w:tbl>
    <w:p w14:paraId="026C9E45" w14:textId="77777777" w:rsidR="00B55BF8" w:rsidRDefault="00BD35D6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_GB2312" w:cs="仿宋_GB2312"/>
          <w:bCs/>
          <w:szCs w:val="21"/>
        </w:rPr>
      </w:pPr>
      <w:r>
        <w:rPr>
          <w:rFonts w:ascii="方正仿宋简体" w:eastAsia="方正仿宋简体" w:hAnsi="仿宋_GB2312" w:cs="仿宋_GB2312" w:hint="eastAsia"/>
          <w:bCs/>
          <w:szCs w:val="21"/>
        </w:rPr>
        <w:t>近三期净值信息：</w:t>
      </w:r>
    </w:p>
    <w:tbl>
      <w:tblPr>
        <w:tblW w:w="95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1134"/>
        <w:gridCol w:w="1134"/>
        <w:gridCol w:w="1276"/>
        <w:gridCol w:w="1275"/>
        <w:gridCol w:w="1418"/>
        <w:gridCol w:w="1828"/>
      </w:tblGrid>
      <w:tr w:rsidR="00732F26" w14:paraId="53C29E69" w14:textId="77777777" w:rsidTr="005B47F1">
        <w:trPr>
          <w:jc w:val="center"/>
        </w:trPr>
        <w:tc>
          <w:tcPr>
            <w:tcW w:w="1461" w:type="dxa"/>
            <w:vAlign w:val="center"/>
          </w:tcPr>
          <w:p w14:paraId="3A07E81D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申购/赎回</w:t>
            </w:r>
            <w:r>
              <w:rPr>
                <w:rFonts w:ascii="方正仿宋简体" w:eastAsia="方正仿宋简体" w:hAnsi="仿宋_GB2312" w:cs="仿宋_GB2312"/>
                <w:szCs w:val="21"/>
              </w:rPr>
              <w:t>确认日</w:t>
            </w:r>
          </w:p>
        </w:tc>
        <w:tc>
          <w:tcPr>
            <w:tcW w:w="1134" w:type="dxa"/>
            <w:vAlign w:val="center"/>
          </w:tcPr>
          <w:p w14:paraId="5C608384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期末每份额净值（元）</w:t>
            </w:r>
          </w:p>
        </w:tc>
        <w:tc>
          <w:tcPr>
            <w:tcW w:w="1134" w:type="dxa"/>
            <w:vAlign w:val="center"/>
          </w:tcPr>
          <w:p w14:paraId="7DA236C4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每份额累计净值（元）</w:t>
            </w:r>
          </w:p>
        </w:tc>
        <w:tc>
          <w:tcPr>
            <w:tcW w:w="1276" w:type="dxa"/>
            <w:vAlign w:val="center"/>
          </w:tcPr>
          <w:p w14:paraId="531BF8E9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赎回价格（元/份）</w:t>
            </w:r>
          </w:p>
        </w:tc>
        <w:tc>
          <w:tcPr>
            <w:tcW w:w="1275" w:type="dxa"/>
            <w:vAlign w:val="center"/>
          </w:tcPr>
          <w:p w14:paraId="7328D849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申购价格（元/份）</w:t>
            </w:r>
          </w:p>
        </w:tc>
        <w:tc>
          <w:tcPr>
            <w:tcW w:w="1418" w:type="dxa"/>
            <w:vAlign w:val="center"/>
          </w:tcPr>
          <w:p w14:paraId="00FE59F7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本期投资运作参考年化收益率</w:t>
            </w:r>
          </w:p>
        </w:tc>
        <w:tc>
          <w:tcPr>
            <w:tcW w:w="1828" w:type="dxa"/>
            <w:vAlign w:val="center"/>
          </w:tcPr>
          <w:p w14:paraId="38CE0C82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本期封闭期</w:t>
            </w:r>
          </w:p>
        </w:tc>
      </w:tr>
      <w:tr>
        <w:trPr>
          <w:jc w:val="center"/>
        </w:trPr>
        <w:tc>
          <w:tcPr>
            <w:tcW w:w="1461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2026-07-01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1.1266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1.1532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1.1266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1.1266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1.38%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2026-06-25至2026-07-01</w:t>
            </w:r>
          </w:p>
        </w:tc>
      </w:tr>
      <w:tr>
        <w:trPr>
          <w:jc w:val="center"/>
        </w:trPr>
        <w:tc>
          <w:tcPr>
            <w:tcW w:w="1461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2026-06-24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1.1263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1.1529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1.1263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1.1263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1.38%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2026-06-18至2026-06-24</w:t>
            </w:r>
          </w:p>
        </w:tc>
      </w:tr>
      <w:tr>
        <w:trPr>
          <w:jc w:val="center"/>
        </w:trPr>
        <w:tc>
          <w:tcPr>
            <w:tcW w:w="1461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2026-06-17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1.1260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1.1526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1.1260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1.1260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0.46%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2026-06-11至2026-06-17</w:t>
            </w:r>
          </w:p>
        </w:tc>
      </w:tr>
    </w:tbl>
    <w:p w14:paraId="7D204511" w14:textId="77777777" w:rsidR="00B55BF8" w:rsidRDefault="00BD35D6">
      <w:pPr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注：1.本公告所提及的日是指除国家法定节假日和休息日（休息日包括周六、周日）外的日期。</w:t>
      </w:r>
    </w:p>
    <w:p w14:paraId="5A06A339" w14:textId="77777777" w:rsidR="00B55BF8" w:rsidRDefault="00BD35D6">
      <w:pPr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 xml:space="preserve">    2.</w:t>
      </w:r>
      <w:r>
        <w:rPr>
          <w:rFonts w:ascii="方正仿宋简体" w:eastAsia="方正仿宋简体" w:hAnsi="仿宋_GB2312" w:cs="仿宋_GB2312" w:hint="eastAsia"/>
          <w:bCs/>
          <w:szCs w:val="21"/>
        </w:rPr>
        <w:t>申购/赎回起止日、申购/赎回确认日</w:t>
      </w:r>
      <w:r>
        <w:rPr>
          <w:rFonts w:ascii="方正仿宋简体" w:eastAsia="方正仿宋简体" w:hAnsi="仿宋_GB2312" w:cs="仿宋_GB2312" w:hint="eastAsia"/>
          <w:szCs w:val="21"/>
        </w:rPr>
        <w:t>如遇节假日将重新调整并公告，具体以公告为准。</w:t>
      </w:r>
    </w:p>
    <w:p w14:paraId="4BB099E6" w14:textId="77777777" w:rsidR="00B55BF8" w:rsidRDefault="00BD35D6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3.本期投资运作参考年化收益率=（本期份额累计净值-上期份额累计净值）/上期份额净值/本期天数*365。</w:t>
      </w:r>
    </w:p>
    <w:p w14:paraId="510CDE60" w14:textId="77777777" w:rsidR="00B55BF8" w:rsidRDefault="00BD35D6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4.产品净值可能存在未扣除管理人及投资合作机构业绩报酬、赎回费等费用（如有）的情况，实际收益以兑付为准。</w:t>
      </w:r>
    </w:p>
    <w:p w14:paraId="75BBF033" w14:textId="77777777" w:rsidR="00B55BF8" w:rsidRDefault="00BD35D6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14:paraId="45FAC0E0" w14:textId="77777777" w:rsidR="00B55BF8" w:rsidRDefault="00BD35D6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特此公告。</w:t>
      </w:r>
    </w:p>
    <w:p w14:paraId="3FC61E07" w14:textId="77777777" w:rsidR="00B55BF8" w:rsidRDefault="00B55BF8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</w:p>
    <w:p w14:paraId="2E7AC56A" w14:textId="77777777" w:rsidR="00B55BF8" w:rsidRDefault="00BD35D6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14:paraId="54ACE7FD" w14:textId="4A286BBA" w:rsidR="00B55BF8" w:rsidRPr="008612FE" w:rsidRDefault="00BD35D6" w:rsidP="008612FE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 xml:space="preserve">                                               2026年07月02日</w:t>
      </w:r>
    </w:p>
    <w:sectPr w:rsidR="00B55BF8" w:rsidRPr="008612FE" w:rsidSect="0073094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B0B27" w14:textId="77777777" w:rsidR="00137D66" w:rsidRDefault="00137D66" w:rsidP="008018CA">
      <w:r>
        <w:separator/>
      </w:r>
    </w:p>
  </w:endnote>
  <w:endnote w:type="continuationSeparator" w:id="0">
    <w:p w14:paraId="14F1B2D9" w14:textId="77777777" w:rsidR="00137D66" w:rsidRDefault="00137D66" w:rsidP="00801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00E3D" w14:textId="77777777" w:rsidR="00137D66" w:rsidRDefault="00137D66" w:rsidP="008018CA">
      <w:r>
        <w:separator/>
      </w:r>
    </w:p>
  </w:footnote>
  <w:footnote w:type="continuationSeparator" w:id="0">
    <w:p w14:paraId="055C4048" w14:textId="77777777" w:rsidR="00137D66" w:rsidRDefault="00137D66" w:rsidP="00801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YxZGU5ZDYwMWVhNzMyY2M5NDU5MzJjMDQyZGVjOGQifQ=="/>
  </w:docVars>
  <w:rsids>
    <w:rsidRoot w:val="00B55BF8"/>
    <w:rsid w:val="000B54F8"/>
    <w:rsid w:val="00137D66"/>
    <w:rsid w:val="00236B27"/>
    <w:rsid w:val="00243D50"/>
    <w:rsid w:val="003F1BC0"/>
    <w:rsid w:val="004C7547"/>
    <w:rsid w:val="005416D6"/>
    <w:rsid w:val="005B47F1"/>
    <w:rsid w:val="005B5E70"/>
    <w:rsid w:val="00730940"/>
    <w:rsid w:val="00732F26"/>
    <w:rsid w:val="00735010"/>
    <w:rsid w:val="00744B25"/>
    <w:rsid w:val="008018CA"/>
    <w:rsid w:val="008612FE"/>
    <w:rsid w:val="009A4388"/>
    <w:rsid w:val="00B55BF8"/>
    <w:rsid w:val="00BD35D6"/>
    <w:rsid w:val="00BF23C6"/>
    <w:rsid w:val="00E122B0"/>
    <w:rsid w:val="00EB6BD2"/>
    <w:rsid w:val="00EC2602"/>
    <w:rsid w:val="00ED70FC"/>
    <w:rsid w:val="1A1964ED"/>
    <w:rsid w:val="25F10A83"/>
    <w:rsid w:val="31D14FEF"/>
    <w:rsid w:val="38975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5D57D8"/>
  <w15:docId w15:val="{3C0E34CB-93AF-4867-839C-1CE9AAD8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940"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1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018C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801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018C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2022-08-01T09:31:00Z</dcterms:created>
  <dc:creator>Administrator</dc:creator>
  <cp:lastModifiedBy>h04vdi1428@vdi04.dev</cp:lastModifiedBy>
  <dcterms:modified xsi:type="dcterms:W3CDTF">2025-09-15T02:37:00Z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268D71D4CFB14B2EA5E76F3F89148870</vt:lpwstr>
  </property>
</Properties>
</file>