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B34D" w14:textId="77777777" w:rsidR="004349C6" w:rsidRDefault="007D379D">
      <w:pPr>
        <w:spacing w:after="0" w:line="240" w:lineRule="auto"/>
        <w:ind w:firstLine="440"/>
        <w:jc w:val="center"/>
        <w:rPr>
          <w:rFonts w:ascii="方正黑体_GBK" w:eastAsia="方正黑体_GBK" w:hAnsi="方正黑体_GBK" w:cs="方正黑体_GBK"/>
          <w:b/>
          <w:bCs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关于调整</w:t>
      </w: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南银理财</w:t>
      </w:r>
      <w:proofErr w:type="gramStart"/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鼎瑞悦稳天添盈</w:t>
      </w:r>
      <w:proofErr w:type="gramEnd"/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开放式公募人民币理财产品</w:t>
      </w:r>
    </w:p>
    <w:p w14:paraId="076093E0" w14:textId="77777777" w:rsidR="004349C6" w:rsidRDefault="007D379D">
      <w:pPr>
        <w:spacing w:after="0" w:line="240" w:lineRule="auto"/>
        <w:ind w:firstLine="440"/>
        <w:jc w:val="center"/>
        <w:rPr>
          <w:rFonts w:ascii="方正黑体_GBK" w:eastAsia="方正黑体_GBK" w:hAnsi="方正黑体_GBK" w:cs="方正黑体_GBK"/>
          <w:b/>
          <w:bCs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b/>
          <w:bCs/>
          <w:sz w:val="24"/>
          <w:szCs w:val="24"/>
        </w:rPr>
        <w:t>相关要素的公告</w:t>
      </w:r>
    </w:p>
    <w:p w14:paraId="1F15B871" w14:textId="77777777" w:rsidR="004349C6" w:rsidRDefault="007D379D">
      <w:pPr>
        <w:spacing w:after="0" w:line="240" w:lineRule="auto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尊敬的投资者：</w:t>
      </w:r>
    </w:p>
    <w:p w14:paraId="1F518625" w14:textId="77777777" w:rsidR="004349C6" w:rsidRDefault="007D379D">
      <w:pPr>
        <w:spacing w:after="0" w:line="240" w:lineRule="auto"/>
        <w:ind w:firstLine="440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结合理财产品的实际运作情况，根据理财产品说明书的相关约定，本公司将于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2026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年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5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月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14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日（含）起调整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南银理财</w:t>
      </w:r>
      <w:proofErr w:type="gramStart"/>
      <w:r>
        <w:rPr>
          <w:rFonts w:ascii="方正黑体_GBK" w:eastAsia="方正黑体_GBK" w:hAnsi="方正黑体_GBK" w:cs="方正黑体_GBK" w:hint="eastAsia"/>
          <w:sz w:val="24"/>
          <w:szCs w:val="24"/>
        </w:rPr>
        <w:t>鼎瑞悦稳天添盈</w:t>
      </w:r>
      <w:proofErr w:type="gramEnd"/>
      <w:r>
        <w:rPr>
          <w:rFonts w:ascii="方正黑体_GBK" w:eastAsia="方正黑体_GBK" w:hAnsi="方正黑体_GBK" w:cs="方正黑体_GBK" w:hint="eastAsia"/>
          <w:sz w:val="24"/>
          <w:szCs w:val="24"/>
        </w:rPr>
        <w:t>开放式公募人民币理财产品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的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投资起点金额、递增金额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，具体如下：</w:t>
      </w:r>
    </w:p>
    <w:tbl>
      <w:tblPr>
        <w:tblStyle w:val="a5"/>
        <w:tblW w:w="10007" w:type="dxa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985"/>
        <w:gridCol w:w="1622"/>
        <w:gridCol w:w="3041"/>
        <w:gridCol w:w="2845"/>
      </w:tblGrid>
      <w:tr w:rsidR="004349C6" w14:paraId="300EC71D" w14:textId="77777777">
        <w:trPr>
          <w:jc w:val="center"/>
        </w:trPr>
        <w:tc>
          <w:tcPr>
            <w:tcW w:w="1514" w:type="dxa"/>
            <w:vAlign w:val="center"/>
          </w:tcPr>
          <w:p w14:paraId="1593EAAC" w14:textId="77777777" w:rsidR="004349C6" w:rsidRDefault="007D379D">
            <w:pPr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18"/>
              </w:rPr>
              <w:t>产品全称</w:t>
            </w:r>
          </w:p>
        </w:tc>
        <w:tc>
          <w:tcPr>
            <w:tcW w:w="985" w:type="dxa"/>
            <w:vAlign w:val="center"/>
          </w:tcPr>
          <w:p w14:paraId="669E88EC" w14:textId="77777777" w:rsidR="004349C6" w:rsidRDefault="007D379D">
            <w:pPr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18"/>
              </w:rPr>
              <w:t>内部销售代码</w:t>
            </w:r>
          </w:p>
        </w:tc>
        <w:tc>
          <w:tcPr>
            <w:tcW w:w="1622" w:type="dxa"/>
            <w:vAlign w:val="center"/>
          </w:tcPr>
          <w:p w14:paraId="6AF7A7AA" w14:textId="77777777" w:rsidR="004349C6" w:rsidRDefault="007D379D">
            <w:pPr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18"/>
              </w:rPr>
              <w:t>调整的要素</w:t>
            </w:r>
          </w:p>
        </w:tc>
        <w:tc>
          <w:tcPr>
            <w:tcW w:w="3041" w:type="dxa"/>
            <w:vAlign w:val="center"/>
          </w:tcPr>
          <w:p w14:paraId="39E80E1C" w14:textId="77777777" w:rsidR="004349C6" w:rsidRDefault="007D379D">
            <w:pPr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18"/>
              </w:rPr>
              <w:t>调整前</w:t>
            </w:r>
          </w:p>
        </w:tc>
        <w:tc>
          <w:tcPr>
            <w:tcW w:w="2845" w:type="dxa"/>
            <w:vAlign w:val="center"/>
          </w:tcPr>
          <w:p w14:paraId="16720AA3" w14:textId="77777777" w:rsidR="004349C6" w:rsidRDefault="007D379D">
            <w:pPr>
              <w:spacing w:after="0" w:line="240" w:lineRule="auto"/>
              <w:jc w:val="center"/>
              <w:rPr>
                <w:rFonts w:ascii="方正黑体_GBK" w:eastAsia="方正黑体_GBK" w:hAnsi="方正黑体_GBK" w:cs="方正黑体_GBK"/>
                <w:b/>
                <w:bCs/>
                <w:sz w:val="18"/>
                <w:szCs w:val="18"/>
              </w:rPr>
            </w:pPr>
            <w:r>
              <w:rPr>
                <w:rFonts w:ascii="方正黑体_GBK" w:eastAsia="方正黑体_GBK" w:hAnsi="方正黑体_GBK" w:cs="方正黑体_GBK" w:hint="eastAsia"/>
                <w:b/>
                <w:bCs/>
                <w:sz w:val="18"/>
                <w:szCs w:val="18"/>
              </w:rPr>
              <w:t>调整后</w:t>
            </w:r>
          </w:p>
        </w:tc>
      </w:tr>
      <w:tr w:rsidR="004349C6" w14:paraId="54358646" w14:textId="77777777">
        <w:trPr>
          <w:jc w:val="center"/>
        </w:trPr>
        <w:tc>
          <w:tcPr>
            <w:tcW w:w="1514" w:type="dxa"/>
            <w:vAlign w:val="center"/>
          </w:tcPr>
          <w:p w14:paraId="41F96A58" w14:textId="77777777" w:rsidR="004349C6" w:rsidRDefault="007D379D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南银理财</w:t>
            </w:r>
            <w:proofErr w:type="gramStart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鼎瑞悦稳天添盈</w:t>
            </w:r>
            <w:proofErr w:type="gramEnd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开放式公募人民币理财产品</w:t>
            </w:r>
          </w:p>
        </w:tc>
        <w:tc>
          <w:tcPr>
            <w:tcW w:w="985" w:type="dxa"/>
            <w:vAlign w:val="center"/>
          </w:tcPr>
          <w:p w14:paraId="18717E66" w14:textId="77777777" w:rsidR="004349C6" w:rsidRDefault="007D379D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A30018</w:t>
            </w:r>
          </w:p>
        </w:tc>
        <w:tc>
          <w:tcPr>
            <w:tcW w:w="1622" w:type="dxa"/>
            <w:vAlign w:val="center"/>
          </w:tcPr>
          <w:p w14:paraId="550ACD05" w14:textId="77777777" w:rsidR="004349C6" w:rsidRDefault="007D379D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投资起点金额、递增金额</w:t>
            </w:r>
          </w:p>
          <w:p w14:paraId="1A681AFA" w14:textId="77777777" w:rsidR="004349C6" w:rsidRDefault="004349C6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</w:p>
        </w:tc>
        <w:tc>
          <w:tcPr>
            <w:tcW w:w="3041" w:type="dxa"/>
            <w:vAlign w:val="center"/>
          </w:tcPr>
          <w:p w14:paraId="26DF9A5A" w14:textId="77777777" w:rsidR="004349C6" w:rsidRDefault="007D379D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E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份额：</w:t>
            </w:r>
          </w:p>
          <w:p w14:paraId="6B3124A4" w14:textId="77777777" w:rsidR="004349C6" w:rsidRDefault="007D379D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个人投资者投资起点金额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1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元人民币，以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1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元的整数</w:t>
            </w:r>
            <w:proofErr w:type="gramStart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倍</w:t>
            </w:r>
            <w:proofErr w:type="gramEnd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递增；</w:t>
            </w:r>
          </w:p>
          <w:p w14:paraId="57579F63" w14:textId="77777777" w:rsidR="004349C6" w:rsidRDefault="007D379D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机构投资者投资起点金额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100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万元人民币，以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1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元的整数</w:t>
            </w:r>
            <w:proofErr w:type="gramStart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倍</w:t>
            </w:r>
            <w:proofErr w:type="gramEnd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递增；</w:t>
            </w:r>
          </w:p>
          <w:p w14:paraId="578A83E3" w14:textId="77777777" w:rsidR="004349C6" w:rsidRDefault="004349C6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</w:p>
        </w:tc>
        <w:tc>
          <w:tcPr>
            <w:tcW w:w="2845" w:type="dxa"/>
            <w:vAlign w:val="center"/>
          </w:tcPr>
          <w:p w14:paraId="77F27D05" w14:textId="77777777" w:rsidR="004349C6" w:rsidRDefault="007D379D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E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份额：</w:t>
            </w:r>
          </w:p>
          <w:p w14:paraId="2CB315B0" w14:textId="77777777" w:rsidR="004349C6" w:rsidRDefault="007D379D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个人投资者投资起点金额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1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元人民币，以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1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元的整数</w:t>
            </w:r>
            <w:proofErr w:type="gramStart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倍</w:t>
            </w:r>
            <w:proofErr w:type="gramEnd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递增；</w:t>
            </w:r>
          </w:p>
          <w:p w14:paraId="6D53D7ED" w14:textId="77777777" w:rsidR="004349C6" w:rsidRDefault="007D379D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机构投资者投资起点金额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1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元人民币，以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1</w:t>
            </w:r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元的整数</w:t>
            </w:r>
            <w:proofErr w:type="gramStart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倍</w:t>
            </w:r>
            <w:proofErr w:type="gramEnd"/>
            <w:r>
              <w:rPr>
                <w:rFonts w:ascii="方正黑体_GBK" w:eastAsia="方正黑体_GBK" w:hAnsi="方正黑体_GBK" w:cs="宋体" w:hint="eastAsia"/>
                <w:sz w:val="18"/>
                <w:szCs w:val="18"/>
              </w:rPr>
              <w:t>递增；</w:t>
            </w:r>
          </w:p>
          <w:p w14:paraId="448F9AE1" w14:textId="77777777" w:rsidR="004349C6" w:rsidRDefault="004349C6">
            <w:pPr>
              <w:spacing w:line="240" w:lineRule="auto"/>
              <w:rPr>
                <w:rFonts w:ascii="方正黑体_GBK" w:eastAsia="方正黑体_GBK" w:hAnsi="方正黑体_GBK" w:cs="宋体"/>
                <w:sz w:val="18"/>
                <w:szCs w:val="18"/>
              </w:rPr>
            </w:pPr>
          </w:p>
        </w:tc>
      </w:tr>
    </w:tbl>
    <w:p w14:paraId="246D11C9" w14:textId="77777777" w:rsidR="004349C6" w:rsidRDefault="007D379D">
      <w:pPr>
        <w:spacing w:after="0" w:line="240" w:lineRule="auto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 xml:space="preserve">    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同时，本公司对产品销售文件进行了更新，详见信息披露。</w:t>
      </w:r>
    </w:p>
    <w:p w14:paraId="07500425" w14:textId="77777777" w:rsidR="004349C6" w:rsidRDefault="007D379D">
      <w:pPr>
        <w:spacing w:after="0" w:line="240" w:lineRule="auto"/>
        <w:ind w:firstLine="440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14:paraId="23BBB4CB" w14:textId="77777777" w:rsidR="004349C6" w:rsidRDefault="007D379D">
      <w:pPr>
        <w:spacing w:after="0" w:line="240" w:lineRule="auto"/>
        <w:ind w:firstLine="440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感谢您一直以来的支持与信赖！</w:t>
      </w:r>
    </w:p>
    <w:p w14:paraId="73138FCF" w14:textId="77777777" w:rsidR="004349C6" w:rsidRDefault="007D379D">
      <w:pPr>
        <w:spacing w:after="0" w:line="240" w:lineRule="auto"/>
        <w:ind w:firstLine="440"/>
        <w:jc w:val="both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特此公告。</w:t>
      </w:r>
    </w:p>
    <w:p w14:paraId="5080DDA7" w14:textId="77777777" w:rsidR="004349C6" w:rsidRDefault="007D379D">
      <w:pPr>
        <w:spacing w:line="240" w:lineRule="auto"/>
        <w:ind w:firstLine="420"/>
        <w:jc w:val="right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南银理财有限责任公司</w:t>
      </w:r>
    </w:p>
    <w:p w14:paraId="7AC42768" w14:textId="77777777" w:rsidR="004349C6" w:rsidRDefault="007D379D">
      <w:pPr>
        <w:spacing w:line="240" w:lineRule="auto"/>
        <w:ind w:firstLine="420"/>
        <w:jc w:val="right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2026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年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5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月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11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t>日</w:t>
      </w:r>
    </w:p>
    <w:sectPr w:rsidR="00434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605EB" w14:textId="77777777" w:rsidR="007D379D" w:rsidRDefault="007D379D">
      <w:pPr>
        <w:spacing w:line="240" w:lineRule="auto"/>
      </w:pPr>
      <w:r>
        <w:separator/>
      </w:r>
    </w:p>
  </w:endnote>
  <w:endnote w:type="continuationSeparator" w:id="0">
    <w:p w14:paraId="03CE4794" w14:textId="77777777" w:rsidR="007D379D" w:rsidRDefault="007D3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B93A5" w14:textId="77777777" w:rsidR="007D379D" w:rsidRDefault="007D379D">
      <w:pPr>
        <w:spacing w:after="0"/>
      </w:pPr>
      <w:r>
        <w:separator/>
      </w:r>
    </w:p>
  </w:footnote>
  <w:footnote w:type="continuationSeparator" w:id="0">
    <w:p w14:paraId="02E69823" w14:textId="77777777" w:rsidR="007D379D" w:rsidRDefault="007D37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Y5MzZhNmM2Y2MxN2VlZmQ5NTNmMWIxY2JkMzcxYzIifQ=="/>
  </w:docVars>
  <w:rsids>
    <w:rsidRoot w:val="00C97EE8"/>
    <w:rsid w:val="001A0FF0"/>
    <w:rsid w:val="004349C6"/>
    <w:rsid w:val="007D379D"/>
    <w:rsid w:val="0093193E"/>
    <w:rsid w:val="00C97EE8"/>
    <w:rsid w:val="00FB0E68"/>
    <w:rsid w:val="014F1C07"/>
    <w:rsid w:val="04F543C3"/>
    <w:rsid w:val="0718536E"/>
    <w:rsid w:val="0B745863"/>
    <w:rsid w:val="0C0149DC"/>
    <w:rsid w:val="0D2F1E7E"/>
    <w:rsid w:val="0EAF2B19"/>
    <w:rsid w:val="11056D1C"/>
    <w:rsid w:val="122F2CFD"/>
    <w:rsid w:val="12843A06"/>
    <w:rsid w:val="12E951B2"/>
    <w:rsid w:val="130A55BC"/>
    <w:rsid w:val="1442037E"/>
    <w:rsid w:val="15FB5DCF"/>
    <w:rsid w:val="173E4D36"/>
    <w:rsid w:val="17465DAD"/>
    <w:rsid w:val="178D191F"/>
    <w:rsid w:val="19662322"/>
    <w:rsid w:val="1A7840BB"/>
    <w:rsid w:val="1AE6075F"/>
    <w:rsid w:val="1B473270"/>
    <w:rsid w:val="1B9864C1"/>
    <w:rsid w:val="1ECA0C48"/>
    <w:rsid w:val="26864C7C"/>
    <w:rsid w:val="27B86D0D"/>
    <w:rsid w:val="27CA211B"/>
    <w:rsid w:val="27E67E69"/>
    <w:rsid w:val="285D663A"/>
    <w:rsid w:val="28A01C27"/>
    <w:rsid w:val="2AFD54CD"/>
    <w:rsid w:val="2C6C78DD"/>
    <w:rsid w:val="2EB2248E"/>
    <w:rsid w:val="2F5C3A43"/>
    <w:rsid w:val="2F9257C7"/>
    <w:rsid w:val="312E0695"/>
    <w:rsid w:val="319075AF"/>
    <w:rsid w:val="34563267"/>
    <w:rsid w:val="34774285"/>
    <w:rsid w:val="34DA79F4"/>
    <w:rsid w:val="35042CC3"/>
    <w:rsid w:val="364E31D7"/>
    <w:rsid w:val="38AF1B63"/>
    <w:rsid w:val="38BF2926"/>
    <w:rsid w:val="3BA31911"/>
    <w:rsid w:val="3CFB68BA"/>
    <w:rsid w:val="3E0C1134"/>
    <w:rsid w:val="3E50558D"/>
    <w:rsid w:val="3EAF5499"/>
    <w:rsid w:val="3F750996"/>
    <w:rsid w:val="40E705F7"/>
    <w:rsid w:val="42246753"/>
    <w:rsid w:val="42613503"/>
    <w:rsid w:val="427F3D67"/>
    <w:rsid w:val="4403620D"/>
    <w:rsid w:val="44F83F0D"/>
    <w:rsid w:val="45D86AFF"/>
    <w:rsid w:val="465B196D"/>
    <w:rsid w:val="47D12ED9"/>
    <w:rsid w:val="48A71E8C"/>
    <w:rsid w:val="4B520881"/>
    <w:rsid w:val="4BE83C5D"/>
    <w:rsid w:val="4C4C1309"/>
    <w:rsid w:val="4C634041"/>
    <w:rsid w:val="4E0062C6"/>
    <w:rsid w:val="4E1C4E14"/>
    <w:rsid w:val="4E7B27EC"/>
    <w:rsid w:val="4E880069"/>
    <w:rsid w:val="4FF2561B"/>
    <w:rsid w:val="50D77086"/>
    <w:rsid w:val="511C58BD"/>
    <w:rsid w:val="51845D15"/>
    <w:rsid w:val="53644FB2"/>
    <w:rsid w:val="538E7ED0"/>
    <w:rsid w:val="55250333"/>
    <w:rsid w:val="55862589"/>
    <w:rsid w:val="55C52FA0"/>
    <w:rsid w:val="560E450F"/>
    <w:rsid w:val="58505DD4"/>
    <w:rsid w:val="58F7058B"/>
    <w:rsid w:val="5E4F42F2"/>
    <w:rsid w:val="5EC540C8"/>
    <w:rsid w:val="60430B74"/>
    <w:rsid w:val="61F447CD"/>
    <w:rsid w:val="63E509D8"/>
    <w:rsid w:val="68726B70"/>
    <w:rsid w:val="69C4553E"/>
    <w:rsid w:val="6B937F7A"/>
    <w:rsid w:val="6C797087"/>
    <w:rsid w:val="6CE669CA"/>
    <w:rsid w:val="6D3B4E51"/>
    <w:rsid w:val="74BB61F3"/>
    <w:rsid w:val="75A27F62"/>
    <w:rsid w:val="77A97C06"/>
    <w:rsid w:val="7883171E"/>
    <w:rsid w:val="78D43D28"/>
    <w:rsid w:val="79DD4971"/>
    <w:rsid w:val="7A731D22"/>
    <w:rsid w:val="7A7D65B4"/>
    <w:rsid w:val="7C0A73F6"/>
    <w:rsid w:val="7E32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52735"/>
  <w15:docId w15:val="{42E69D96-5CBB-442A-85EB-A2B62D53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qFormat/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引文目录1"/>
    <w:next w:val="a"/>
    <w:qFormat/>
    <w:pPr>
      <w:widowControl w:val="0"/>
      <w:spacing w:before="100" w:beforeAutospacing="1" w:after="100" w:afterAutospacing="1"/>
      <w:ind w:leftChars="200" w:left="200"/>
      <w:jc w:val="both"/>
      <w:textAlignment w:val="baseline"/>
    </w:pPr>
    <w:rPr>
      <w:kern w:val="2"/>
      <w:sz w:val="21"/>
      <w:szCs w:val="21"/>
    </w:rPr>
  </w:style>
  <w:style w:type="character" w:customStyle="1" w:styleId="DefaultParagraphFont9e2a22b99e2a22b9">
    <w:name w:val="Default Paragraph Font9e2a22b99e2a22b9"/>
    <w:basedOn w:val="a0"/>
  </w:style>
  <w:style w:type="paragraph" w:styleId="a6">
    <w:name w:val="header"/>
    <w:basedOn w:val="a"/>
    <w:link w:val="a7"/>
    <w:rsid w:val="001A0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A0FF0"/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footer"/>
    <w:basedOn w:val="a"/>
    <w:link w:val="a9"/>
    <w:rsid w:val="001A0FF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A0FF0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qzx</dc:creator>
  <cp:lastModifiedBy>周远</cp:lastModifiedBy>
  <cp:revision>2</cp:revision>
  <cp:lastPrinted>2022-06-16T09:31:00Z</cp:lastPrinted>
  <dcterms:created xsi:type="dcterms:W3CDTF">2026-05-11T08:57:00Z</dcterms:created>
  <dcterms:modified xsi:type="dcterms:W3CDTF">2026-05-11T08:57:00Z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4F7E30B4EB6D443CA9B7927C892A446B</vt:lpwstr>
  </property>
  <property fmtid="{D5CDD505-2E9C-101B-9397-08002B2CF9AE}" pid="4" name="KSOTemplateDocerSaveRecord">
    <vt:lpwstr>eyJoZGlkIjoiMWI3ZDliZmU4YWZkMTY3OTUyMjIyMTc4NzFjN2Y3ZDQifQ==</vt:lpwstr>
  </property>
</Properties>
</file>