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南银理财增瑞益佳目标盈8期（最低运作91天）私募封闭式人民币理财产品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南银理财增瑞益佳目标盈8期（最低运作91天）私募封闭式人民币理财产品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Z7003225A000023（投资者可依据该编码在中国理财网www.chinawealth.com.cn查询理财产品相关信息）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2025年05月23日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13,400,000.00份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中信期货有限公司,上海东证期货有限公司,中信信托有限责任公司,华安基金管理有限公司,鑫沅资产管理有限公司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S90008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13,545,759.58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  产品操作上，债券资产将继续保持一定的配置仓位，进一步加强对杠杆和久期的管理；权益方面，持仓以宽基指数为主。考虑到政策和经济的中期预期有望逐步改善，未来保持相对较高的权益仓位。</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截至报告期末，本产品份额净值为1.0108元。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83.79%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1.97%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14.24%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7,014,211.19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4,324,170.27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HHQTT202503210006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东证期货瑞泽稳盈6号集合资产管理计划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1,116,734.49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411,863.10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HHQTT202405290002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404,402.57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518880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黄金ETF</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267,868.80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1,157.89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0101000000001485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南银理财增瑞益佳目标盈8期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产品支付关联方托管费0.00元，支付关联方代销费10,171.92元。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