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南银理财增瑞益佳目标盈7期（最低运作91天）私募封闭式人民币理财产品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南银理财增瑞益佳目标盈7期（最低运作91天）私募封闭式人民币理财产品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Z7003225A000018（投资者可依据该编码在中国理财网www.chinawealth.com.cn查询理财产品相关信息）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12,270,000.00份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中信期货有限公司,中信信托有限责任公司,华安基金管理有限公司,鑫沅资产管理有限公司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S90007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12,410,171.09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  产品操作上，债券资产将继续保持一定的配置仓位，进一步加强对杠杆和久期的管理；权益方面，持仓以宽基指数为主。考虑到政策和经济的中期预期有望逐步改善，未来保持相对较高的权益仓位。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截至报告期末，本产品份额净值为1.0114元。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91.47%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6.56%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6,262,852.16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4,372,021.94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411,863.10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404,402.57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245,546.40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2,918.26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0101020000001465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南银理财增瑞益佳目标盈7期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产品支付关联方托管费0.00元，支付关联方代销费9,327.74元。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