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南银理财欣投优选4期私募人民币理财产品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南银理财欣投优选4期私募人民币理财产品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Z7003221A000101（投资者可依据该编码在中国理财网www.chinawealth.com.cn查询理财产品相关信息）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2021年09月24日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55,269,917.00份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华夏基金管理有限公司,嘉实基金管理有限公司,富国基金管理有限公司,易方达基金管理有限公司,华泰柏瑞基金管理有限公司,景顺长城基金管理有限公司,上海易同私募基金管理合伙企业（有限合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S60004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53,573,835.56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0.9693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0.9693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S60004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0.30%</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本产品以权益资产为核心，通过优选长期中高收益、中低风险的股票、指数增强、可转债类策略的优质管理人，通过多元风险度、多元策略、多元风格体系化配置，合理控制风险的前提下获取中长期稳健收益。</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展望2026年一季度，产品操作将维持积极，围绕科技、资源品以及内需等方向做重点布局，密切关注外围环境、国内经济情况、政策动向以及市场量能等，优选管理人，追求合适收益率同时努力控制好净值的回撤。</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截至报告期末，本产品份额净值为0.9693元。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14.99%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10.47%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74.54%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易同先锋三期私募证券投资基金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13,205,826.72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017992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华泰柏瑞致远混合C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12,799,635.92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9,316,007.08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华泰柏瑞消费成长混合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3,596,216.31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513050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中概互联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2,640,600.00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002065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景顺长城景盛双息收益债券A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2,065,927.43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513180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恒指科技</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1,464,000.00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023512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景顺长城景颐丰利债券F类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1,008,416.83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017720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华夏消费臻选混合发起式C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850,579.18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843,000.00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0120060000000684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南银理财欣投优选4期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产品支付关联方托管费2,748.45元，支付关联方代销费148,179.57元。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