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南银理财欣投优选3期私募人民币理财产品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南银理财欣投优选3期私募人民币理财产品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Z7003221A000077（投资者可依据该编码在中国理财网www.chinawealth.com.cn查询理财产品相关信息）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2021年07月02日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35,400,000.00份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中信期货有限公司,中庚基金管理有限公司,华夏基金管理有限公司,嘉实基金管理有限公司,华泰柏瑞基金管理有限公司,景顺长城基金管理有限公司,上海易同私募基金管理合伙企业（有限合伙）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34,683,722.31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0.9797</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0.9797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0.30%</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以权益资产为核心，通过优选长期中高收益、中低风险的股票、指数增强、可转债类策略的优质管理人，通过多元风险度、多元策略、多元风格体系化配置，合理控制风险的前提下获取中长期稳健收益。</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展望2026年一季度，产品操作将维持积极，围绕科技、资源品以及内需等方向做重点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截至报告期末，本产品份额净值为0.9797元。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25.36%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12.96%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24.86%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61.68%</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40.37%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10,592,969.21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易同先锋三期私募证券投资基金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6,402,378.83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513180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恒指科技</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3,952,800.00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2,197,403.64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HHQTT202304260001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中信期货宁稳1号集合资产管理计划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1,051,502.43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023512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景顺长城景颐丰利债券F类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1,008,416.83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006551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中庚价值领航混合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999,641.90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588200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科创芯片</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585,500.00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011356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华泰柏瑞港股通时代机遇混合C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349,420.85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0120040000000642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南银理财欣投优选3期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产品支付关联方托管费2,257.29元，支付关联方代销费106,473.37元。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