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南银理财欣投睿郡4期两年定开私募人民币理财产品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南银理财欣投睿郡4期两年定开私募人民币理财产品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Z7003222A000052（投资者可依据该编码在中国理财网www.chinawealth.com.cn查询理财产品相关信息）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2022年05月31日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8,780,000.00份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华宝基金管理有限公司,上海睿郡资产管理有限公司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S40009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9,909,504.45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1.1286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1.1286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w:t>
        <w:br w:type="textWrapping" w:clear="all"/>
      </w:r>
      <w:r>
        <w:rPr>
          <w:rFonts w:hint="eastAsia" w:ascii="方正仿宋简体" w:eastAsia="方正仿宋简体"/>
          <w:sz w:val="24"/>
          <w:szCs w:val="24"/>
        </w:rPr>
        <w:t>  展望2026年，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本产品以权益资产为核心，底层投资于睿郡资产管理的产品，睿郡资产坚持以“高股息资产+精选行业龙头+可转债”均衡配置的投资思路，挖掘基本面稳定、风险收益匹配的市场投资标的。操作方面将继续结合宏观、微观等指标动态评判，控制委托资金的投资节奏，加强对委托资金的投后管理。</w:t>
        <w:br w:type="textWrapping" w:clear="all"/>
      </w:r>
      <w:r>
        <w:rPr>
          <w:rFonts w:hint="eastAsia" w:ascii="方正仿宋简体" w:eastAsia="方正仿宋简体"/>
          <w:sz w:val="24"/>
          <w:szCs w:val="24"/>
        </w:rPr>
        <w:t>  本理财产品合作机构为上海睿郡资产管理有限公司，为理财产品所投资资产管理产品的管理人，该底层产品运作的相关费用如下：1、管理费：年费率0.6%，每日计提，按自然季度支付；2、托管费：年费率0.02%，每日计提，按自然季度支付；3、销售服务费：年费率1.00%，每日计提，按自然季度支付；4、业绩报酬：采用单个投资者单笔投资年化收益差额法计提，计提基准为年化6%，对超出业绩报酬计提基准的持有期差额收益按10%比例进行计提，计提基准日为投资者赎回日、分红权益登记日、基金清算日。其他诸如开立账户费用、证券交易费用等运作相关费用在发生时列入当期费用，由资产管理产品资产承担。另外如发生增值税应税行为，所形成的相关税负由资产管理产品资产承担。</w:t>
        <w:br w:type="textWrapping" w:clear="all"/>
      </w:r>
      <w:r>
        <w:rPr>
          <w:rFonts w:hint="eastAsia" w:ascii="方正仿宋简体" w:eastAsia="方正仿宋简体"/>
          <w:sz w:val="24"/>
          <w:szCs w:val="24"/>
        </w:rPr>
        <w:t>  管理人提醒投资者注意，本理财产品投资合作机构管理的资产管理产品，其业绩报酬的提取（如有）可能造成本理财产品净值的单日波动偏大。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截至报告期末，本产品份额净值为1.1286元。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5.45%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94.55%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睿郡专享25号私募证券投资基金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9,428,567.29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001893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华宝添益货币B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13,719.81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0120050000000830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南银理财欣投睿郡4期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产品支付关联方托管费515.46元，支付关联方代销费24,663.92元。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