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南银理财鑫稳盈3号163期742天私募封闭式人民币理财产品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南银理财鑫稳盈3号163期742天私募封闭式人民币理财产品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Z7003224A000048（投资者可依据该编码在中国理财网www.chinawealth.com.cn查询理财产品相关信息）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150,000,000.00份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平安基金管理有限公司,重庆国际信托股份有限公司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S30163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158,748,025.36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  本产品的主要投资策略为在严格控制风险的前提下，合理筛选江浙地区优质城投类非标资产，此外闲置资金也将投资于货币基金等高流动性资产。</w:t>
        <w:br w:type="textWrapping" w:clear="all"/>
      </w:r>
      <w:r>
        <w:rPr>
          <w:rFonts w:hint="eastAsia" w:ascii="方正仿宋简体" w:eastAsia="方正仿宋简体"/>
          <w:sz w:val="24"/>
          <w:szCs w:val="24"/>
        </w:rPr>
        <w:t>  2025年，受关税谈判、政府债供给、银行负债端压力等多方因素影响，融资环境在资金面宽松背景下基本保持平稳态势。从基本面的角度来看，需求端依然较为疲软，地产依然处于探底状态，政策对于地产的态度依然是托而不举，内需依然面临较大的下行压力。货币政策方面，未来一段时间适度宽松的货币环境较为确定，美联储的降息也给国内的降准降息打开了空间。展望一季度，美国经济走强、降息预期后移、中美元首会晤，全球风险偏好均有抬升，整个市场融资环境有一定的起伏，整体经济环境的下行压力仍然存在。长期来看城投公司发展面临的外部环境仍然很严峻，城投公司的分化将加速，未来不同主体的信用利差将逐步扩大，城投市场化转型将带来优质主体经营优势，也将逐步淘汰劣质主体。优质城投公司将加速转型，成为市场化的国有企业。</w:t>
        <w:br w:type="textWrapping" w:clear="all"/>
      </w:r>
      <w:r>
        <w:rPr>
          <w:rFonts w:hint="eastAsia" w:ascii="方正仿宋简体" w:eastAsia="方正仿宋简体"/>
          <w:sz w:val="24"/>
          <w:szCs w:val="24"/>
        </w:rPr>
        <w:t>  相对来说，江浙地区城投公司整体保持稳定，江浙地区的城投公司在基础设施建设业务方面的可持续性较强，信用风险和流动性风险整体可控。</w:t>
        <w:br w:type="textWrapping" w:clear="all"/>
      </w:r>
      <w:r>
        <w:rPr>
          <w:rFonts w:hint="eastAsia" w:ascii="方正仿宋简体" w:eastAsia="方正仿宋简体"/>
          <w:sz w:val="24"/>
          <w:szCs w:val="24"/>
        </w:rPr>
        <w:t>  本产品主要投向江浙地区优质城投企业为融资人的非标准化债权类资产，以持有至到期为目的，获取稳定投资收益。运作期内，本产品所投资产融资人还本付息情况良好，再融资及各项经营活动正常。</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  本产品投资的非标准化债权类资产到期日不晚于产品到期日，所投资产融资人还本付息情况良好，再融资及各项经营活动正常，流动性风险可控。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截至报告期末，本产品份额净值为1.0583元。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150,451,534.50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003034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平安交易型货币A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7,744,637.68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000759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平安财富宝货币A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2,747,344.98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南京银行南京分行南银理财鑫稳盈3号163期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