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南银理财稳盈2号2004一年定开私募人民币理财产品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南银理财稳盈2号2004一年定开私募人民币理财产品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Z7003221A000015（投资者可依据该编码在中国理财网www.chinawealth.com.cn查询理财产品相关信息）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2020年04月29日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174,681,730.00份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鑫沅资产管理有限公司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B82009</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176,786,322.39</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1.0120</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1.2475</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B82009</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本产品坚持稳健投资原则，注重信用价值挖掘，以票息策略为主，通过集中投资，为客户提供良好运作收益。同时部分产品投向定制的债券专户，债券专户最终投向投以江浙区域城投企业发行的PPN及非公开公司债券为主，力求为客户实现稳定向上的净值表现。</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  本产品主要投向AA以上债券，流动性风险总体可控。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截至报告期末，本产品份额净值为1.0120元。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93.98%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6.02%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126,162,926.29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71.36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254303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24药控01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40,512,720.00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22.92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102480477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24武清经开MTN002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5,089,160.00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XJCKX202302280001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工商银行南分活期存款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10,010.50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0120060000000354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南京银行稳盈2号2004一年定开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产品支付关联方托管费8,785.51元，支付关联方代销费133,047.30元。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