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南银理财盈瑞灵活多因子（最低持有371天）公募人民币理财产品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南银理财盈瑞灵活多因子（最低持有371天）公募人民币理财产品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Z7003223000095（投资者可依据该编码在中国理财网www.chinawealth.com.cn查询理财产品相关信息）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2023年05月19日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69,018,379.51份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中信期货有限公司,鑫沅资产管理有限公司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Z99012</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70,202,248.82</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1.0171</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Z99012</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固收方面，2025年债市收益率总体震荡上行，短端表现相对较好。虽然从全年维度来看，流动性层面央行态度整体维持宽松，经济基本面角度货币和信贷周期、物价因子修复速率呈现前高后低的态势，但是债市对2024年利率快速下行“透支”行情的修正较为持续，特别是一季度的央行公开市场投放持续偏紧和下半年的债基销售规则、税费改革等负面事件压制债市，长久期资产受到负债端扰动更加明显，10年国债到期收益率最大上行30BP左右。目前来看，后期央行延续流动性宽松的确定性较高，降准预期有所升温，负债端扰动可能亦接近尾声，判断债市在2026年将逐步迎来行情机会，预计“短端好于长端、配置优于交易”的市场特征仍会有一定持续性，在曲线走陡，利差改善的趋势中，我们总体维持偏中性观点，对配置机会的把握相对波段交易会更加积极，短期关注套息空间变化和信贷开门红情况。</w:t>
        <w:br w:type="textWrapping" w:clear="all"/>
      </w:r>
      <w:r>
        <w:rPr>
          <w:rFonts w:hint="eastAsia" w:ascii="方正仿宋简体" w:eastAsia="方正仿宋简体"/>
          <w:sz w:val="24"/>
          <w:szCs w:val="24"/>
        </w:rPr>
        <w:t>  权益方面，2025年A/H股在政策与流动性双重驱动下走出结构性牛市，资源与科技成为贯穿全年的上涨主线。美联储重启降息改善全球流动性，美元走弱提振大宗商品价格，同时AI商业化加速推动科技方向景气持续上行。展望2026年，我们认为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br w:type="textWrapping" w:clear="all"/>
      </w:r>
      <w:r>
        <w:rPr>
          <w:rFonts w:hint="eastAsia" w:ascii="方正仿宋简体" w:eastAsia="方正仿宋简体"/>
          <w:sz w:val="24"/>
          <w:szCs w:val="24"/>
        </w:rPr>
        <w:t>  本产品主要配置在债券和股票资产。产品操作上，债券资产将继续保持一定的配置仓位，进一步加强对杠杆和久期的管理；权益方面，今年以来市场成交量、时序波动率以及截面波动率均处于高位，当前环境下对量化策略获取超额比较友好。随着市场风险偏好维持高位，预期成交量和波动率会一直处于较高水平，且市场成交量依旧保持活跃，有利于量化策略的运作，对量化策略后续表现保持乐观态度。</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  产品持仓中维持合理比例高流动性资产，提前做好关键时点资金储备，流动性状况较好。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截至报告期末，本产品份额净值为1.0171元。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50.15%</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64.39%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35.61%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49.85%</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HHQTT202306290001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中信期货宁宽中性1号集合资产管理计划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35,094,530.86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49.99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20,437,522.76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29.11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8,633,374.15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0120020000001176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南银理财盈瑞灵活多因子最低持有371天</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产品支付关联方托管费2,818.73元，支付关联方代销费46,648.55元。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