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南银理财盈瑞合利灵活价值精选主题（最低持有371天）公募人民币理财产品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南银理财盈瑞合利灵活价值精选主题（最低持有371天）公募人民币理财产品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185,612,222.81份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中信信托有限责任公司,华夏基金管理有限公司,华安基金管理有限公司,富国基金管理有限公司,鑫元基金管理有限公司,鑫沅资产管理有限公司,易方达基金管理有限公司,景顺长城基金管理有限公司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196,760,182.21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债券和股票资产，全年保持了较高的固收类资产配置比例，权益类资产保持较高仓位，配置了价值、周期以及港股核心资产。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截至报告期末，本产品Z99010份额净值为1.0600元。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59.67%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40.33%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41,467,335.85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25,093,720.57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15,183,283.96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13,643,100.00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002065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景顺长城景盛双息收益债券A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10,128,962.63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9,589,200.00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9,065,400.00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5,031,146.58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自由现金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002233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塔牌集团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4,324,800.00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南银理财盈瑞合利灵活价值精选主题最低持有371天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产品投资关联方作为管理人的资产管理产品交易金额3,983,591.10元。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产品支付关联方托管费10,239.16元，支付关联方代销费219,999.46元。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