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南银理财盈瑞FOF转型升级主题（最低持有280天）公募人民币理财产品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南银理财盈瑞FOF转型升级主题（最低持有280天）公募人民币理财产品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73,632,637.82份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庚基金管理有限公司,中欧基金管理有限公司,华宝基金管理有限公司,嘉实基金管理有限公司,富国基金管理有限公司,鑫沅资产管理有限公司,易方达基金管理有限公司,华泰柏瑞基金管理有限公司,景顺长城基金管理有限公司,银华基金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77,230,925.83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投资策略上，固收方面，维持信用债策略打底，并择机参与利率债波段的投资机会。权益方面，2026年一季度操作将维持积极，重点围绕科技、资源品和内需方向做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截至报告期末，本产品份额净值为1.0488元。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55.72%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36.06%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7,394,062.18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6,676,313.88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5,051,924.65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003505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4,586,205.41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3,736,139.55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3,625,615.22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景顺长城景盛双息收益债券A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2,567,506.68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2,149,650.00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011068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华宝资源优选混合C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2,093,480.48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2,026,988.92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0120090000001026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南银理财盈瑞FOF转型升级主题最低持有280天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产品支付关联方托管费2,723.64元，支付关联方代销费30,680.95元。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