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E3257" w14:textId="77777777" w:rsidR="00946EA2" w:rsidRDefault="00946EA2">
      <w:pPr>
        <w:spacing w:before="240" w:after="72" w:line="360" w:lineRule="auto"/>
        <w:jc w:val="center"/>
        <w:rPr>
          <w:rFonts w:asciiTheme="minorEastAsia" w:eastAsiaTheme="minorEastAsia" w:hAnsiTheme="minorEastAsia"/>
        </w:rPr>
      </w:pPr>
    </w:p>
    <w:p w14:paraId="719E23D8" w14:textId="77777777" w:rsidR="00946EA2" w:rsidRDefault="00946EA2">
      <w:pPr>
        <w:spacing w:before="240" w:after="72" w:line="360" w:lineRule="auto"/>
        <w:jc w:val="center"/>
        <w:rPr>
          <w:rFonts w:asciiTheme="minorEastAsia" w:eastAsiaTheme="minorEastAsia" w:hAnsiTheme="minorEastAsia"/>
        </w:rPr>
      </w:pPr>
    </w:p>
    <w:p w14:paraId="5AD2196B" w14:textId="77777777" w:rsidR="00946EA2" w:rsidRDefault="00946EA2">
      <w:pPr>
        <w:spacing w:before="240" w:after="72" w:line="360" w:lineRule="auto"/>
        <w:jc w:val="center"/>
        <w:rPr>
          <w:rFonts w:asciiTheme="minorEastAsia" w:eastAsiaTheme="minorEastAsia" w:hAnsiTheme="minorEastAsia"/>
        </w:rPr>
      </w:pPr>
    </w:p>
    <w:p w14:paraId="4925F2C4" w14:textId="77777777" w:rsidR="00946EA2" w:rsidRDefault="00D56F96">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南银理财珠联璧合致远平衡数字中国主题（最低持有</w:t>
      </w:r>
      <w:r>
        <w:rPr>
          <w:rFonts w:ascii="方正黑体简体" w:eastAsia="方正黑体简体" w:hAnsi="Calibri" w:hint="eastAsia"/>
          <w:sz w:val="36"/>
        </w:rPr>
        <w:t>15</w:t>
      </w:r>
      <w:r>
        <w:rPr>
          <w:rFonts w:ascii="方正黑体简体" w:eastAsia="方正黑体简体" w:hAnsi="Calibri" w:hint="eastAsia"/>
          <w:sz w:val="36"/>
        </w:rPr>
        <w:t>个月）公募人民币理财产品</w:t>
      </w:r>
    </w:p>
    <w:p w14:paraId="4FDF1B53" w14:textId="77777777" w:rsidR="00946EA2" w:rsidRDefault="00D56F96">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2025</w:t>
      </w:r>
      <w:r>
        <w:rPr>
          <w:rFonts w:ascii="方正黑体简体" w:eastAsia="方正黑体简体" w:hAnsi="Calibri" w:hint="eastAsia"/>
          <w:sz w:val="36"/>
        </w:rPr>
        <w:t>年第</w:t>
      </w:r>
      <w:r>
        <w:rPr>
          <w:rFonts w:ascii="方正黑体简体" w:eastAsia="方正黑体简体" w:hAnsi="Calibri" w:hint="eastAsia"/>
          <w:sz w:val="36"/>
        </w:rPr>
        <w:t>4</w:t>
      </w:r>
      <w:r>
        <w:rPr>
          <w:rFonts w:ascii="方正黑体简体" w:eastAsia="方正黑体简体" w:hAnsi="Calibri" w:hint="eastAsia"/>
          <w:sz w:val="36"/>
        </w:rPr>
        <w:t>季度报告</w:t>
      </w:r>
    </w:p>
    <w:p w14:paraId="3D281BFD" w14:textId="77777777" w:rsidR="00946EA2" w:rsidRDefault="00946EA2">
      <w:pPr>
        <w:spacing w:before="240" w:after="72" w:line="360" w:lineRule="auto"/>
        <w:jc w:val="center"/>
        <w:rPr>
          <w:rFonts w:ascii="方正黑体简体" w:eastAsia="方正黑体简体"/>
          <w:sz w:val="36"/>
          <w:szCs w:val="36"/>
        </w:rPr>
      </w:pPr>
    </w:p>
    <w:p w14:paraId="46C694C6" w14:textId="77777777" w:rsidR="00946EA2" w:rsidRDefault="00946EA2">
      <w:pPr>
        <w:spacing w:before="240" w:after="72" w:line="360" w:lineRule="auto"/>
        <w:jc w:val="center"/>
        <w:rPr>
          <w:rFonts w:ascii="方正黑体简体" w:eastAsia="方正黑体简体"/>
          <w:sz w:val="36"/>
          <w:szCs w:val="36"/>
        </w:rPr>
      </w:pPr>
    </w:p>
    <w:p w14:paraId="4B463DEE" w14:textId="77777777" w:rsidR="00946EA2" w:rsidRDefault="00946EA2">
      <w:pPr>
        <w:spacing w:before="240" w:after="72" w:line="360" w:lineRule="auto"/>
        <w:jc w:val="center"/>
        <w:rPr>
          <w:rFonts w:ascii="方正黑体简体" w:eastAsia="方正黑体简体"/>
          <w:sz w:val="36"/>
          <w:szCs w:val="36"/>
        </w:rPr>
      </w:pPr>
    </w:p>
    <w:p w14:paraId="60C2B0AC" w14:textId="77777777" w:rsidR="00946EA2" w:rsidRDefault="00946EA2">
      <w:pPr>
        <w:spacing w:before="240" w:after="72" w:line="360" w:lineRule="auto"/>
        <w:jc w:val="center"/>
        <w:rPr>
          <w:rFonts w:ascii="方正黑体简体" w:eastAsia="方正黑体简体"/>
          <w:sz w:val="36"/>
          <w:szCs w:val="36"/>
        </w:rPr>
      </w:pPr>
    </w:p>
    <w:p w14:paraId="28008ED4" w14:textId="77777777" w:rsidR="00946EA2" w:rsidRDefault="00D56F9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hint="eastAsia"/>
          <w:b/>
          <w:sz w:val="24"/>
          <w:szCs w:val="24"/>
        </w:rPr>
        <w:t>南银理财有限责任公司</w:t>
      </w:r>
    </w:p>
    <w:p w14:paraId="38741469" w14:textId="77777777" w:rsidR="00946EA2" w:rsidRDefault="00D56F9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hint="eastAsia"/>
          <w:b/>
          <w:sz w:val="24"/>
          <w:szCs w:val="24"/>
        </w:rPr>
        <w:t>南京银行股份有限公司</w:t>
      </w:r>
    </w:p>
    <w:p w14:paraId="583FDF3A" w14:textId="77777777" w:rsidR="00946EA2" w:rsidRDefault="00946EA2">
      <w:pPr>
        <w:spacing w:before="240" w:after="72" w:line="360" w:lineRule="auto"/>
        <w:jc w:val="center"/>
        <w:rPr>
          <w:rFonts w:ascii="方正黑体简体" w:eastAsia="方正黑体简体"/>
          <w:sz w:val="36"/>
          <w:szCs w:val="36"/>
        </w:rPr>
      </w:pPr>
    </w:p>
    <w:p w14:paraId="2563A12B" w14:textId="77777777" w:rsidR="00946EA2" w:rsidRDefault="00D56F96">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14:paraId="7A2AB414" w14:textId="77777777" w:rsidR="00946EA2" w:rsidRDefault="00D56F9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4"/>
        <w:gridCol w:w="6065"/>
      </w:tblGrid>
      <w:tr w:rsidR="00946EA2" w14:paraId="65D1DE7E" w14:textId="77777777">
        <w:trPr>
          <w:trHeight w:val="663"/>
          <w:jc w:val="center"/>
        </w:trPr>
        <w:tc>
          <w:tcPr>
            <w:tcW w:w="2894" w:type="dxa"/>
            <w:vAlign w:val="center"/>
          </w:tcPr>
          <w:p w14:paraId="534B4BB7" w14:textId="77777777" w:rsidR="00946EA2" w:rsidRDefault="00D56F96">
            <w:pPr>
              <w:snapToGrid/>
              <w:spacing w:beforeLines="20" w:before="48" w:afterLines="20" w:after="48"/>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14:paraId="0AA48D6A" w14:textId="77777777" w:rsidR="00946EA2" w:rsidRDefault="00D56F96">
            <w:pPr>
              <w:snapToGrid/>
              <w:spacing w:beforeLines="20" w:before="48" w:afterLines="20" w:after="48"/>
              <w:rPr>
                <w:rFonts w:ascii="方正仿宋简体" w:eastAsia="方正仿宋简体"/>
                <w:sz w:val="24"/>
                <w:szCs w:val="24"/>
              </w:rPr>
            </w:pPr>
            <w:r>
              <w:rPr>
                <w:rFonts w:ascii="方正仿宋简体" w:eastAsia="方正仿宋简体" w:hint="eastAsia"/>
                <w:sz w:val="24"/>
                <w:szCs w:val="24"/>
              </w:rPr>
              <w:t>南银理财珠联璧合致远平衡数字中国主题（最低持有</w:t>
            </w:r>
            <w:r>
              <w:rPr>
                <w:rFonts w:ascii="方正仿宋简体" w:eastAsia="方正仿宋简体" w:hint="eastAsia"/>
                <w:sz w:val="24"/>
                <w:szCs w:val="24"/>
              </w:rPr>
              <w:t>15</w:t>
            </w:r>
            <w:r>
              <w:rPr>
                <w:rFonts w:ascii="方正仿宋简体" w:eastAsia="方正仿宋简体" w:hint="eastAsia"/>
                <w:sz w:val="24"/>
                <w:szCs w:val="24"/>
              </w:rPr>
              <w:t>个月）公募人民币理财产品</w:t>
            </w:r>
          </w:p>
        </w:tc>
      </w:tr>
      <w:tr w:rsidR="00946EA2" w14:paraId="5164007E" w14:textId="77777777">
        <w:trPr>
          <w:trHeight w:val="1207"/>
          <w:jc w:val="center"/>
        </w:trPr>
        <w:tc>
          <w:tcPr>
            <w:tcW w:w="2894" w:type="dxa"/>
            <w:vAlign w:val="center"/>
          </w:tcPr>
          <w:p w14:paraId="3F517073" w14:textId="77777777" w:rsidR="00946EA2" w:rsidRDefault="00D56F96">
            <w:pPr>
              <w:snapToGrid/>
              <w:spacing w:beforeLines="20" w:before="48" w:afterLines="20" w:after="48"/>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14:paraId="3253BC1A" w14:textId="77777777" w:rsidR="00946EA2" w:rsidRDefault="00D56F96">
            <w:pPr>
              <w:snapToGrid/>
              <w:spacing w:beforeLines="20" w:before="48" w:afterLines="20" w:after="48"/>
              <w:rPr>
                <w:rFonts w:ascii="方正仿宋简体" w:eastAsia="方正仿宋简体"/>
                <w:sz w:val="24"/>
                <w:szCs w:val="24"/>
              </w:rPr>
            </w:pPr>
            <w:r>
              <w:rPr>
                <w:rFonts w:ascii="方正仿宋简体" w:eastAsia="方正仿宋简体" w:hint="eastAsia"/>
                <w:sz w:val="24"/>
                <w:szCs w:val="24"/>
              </w:rPr>
              <w:t>Z7003222000031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946EA2" w14:paraId="74305ED3" w14:textId="77777777">
        <w:trPr>
          <w:trHeight w:val="663"/>
          <w:jc w:val="center"/>
        </w:trPr>
        <w:tc>
          <w:tcPr>
            <w:tcW w:w="2894" w:type="dxa"/>
            <w:vAlign w:val="center"/>
          </w:tcPr>
          <w:p w14:paraId="0473D3D1" w14:textId="77777777" w:rsidR="00946EA2" w:rsidRDefault="00D56F96">
            <w:pPr>
              <w:snapToGrid/>
              <w:spacing w:beforeLines="20" w:before="48" w:afterLines="20" w:after="48"/>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14:paraId="6A91BDEF" w14:textId="77777777" w:rsidR="00946EA2" w:rsidRDefault="00D56F96">
            <w:pPr>
              <w:snapToGrid/>
              <w:spacing w:beforeLines="20" w:before="48" w:afterLines="20" w:after="48"/>
              <w:rPr>
                <w:rFonts w:ascii="方正仿宋简体" w:eastAsia="方正仿宋简体"/>
                <w:sz w:val="24"/>
                <w:szCs w:val="24"/>
              </w:rPr>
            </w:pPr>
            <w:r>
              <w:rPr>
                <w:rFonts w:ascii="方正仿宋简体" w:eastAsia="方正仿宋简体" w:hint="eastAsia"/>
                <w:sz w:val="24"/>
                <w:szCs w:val="24"/>
              </w:rPr>
              <w:t>开放式净值型</w:t>
            </w:r>
          </w:p>
        </w:tc>
      </w:tr>
      <w:tr w:rsidR="00946EA2" w14:paraId="35073C14" w14:textId="77777777">
        <w:trPr>
          <w:trHeight w:val="663"/>
          <w:jc w:val="center"/>
        </w:trPr>
        <w:tc>
          <w:tcPr>
            <w:tcW w:w="2894" w:type="dxa"/>
            <w:vAlign w:val="center"/>
          </w:tcPr>
          <w:p w14:paraId="7EB2BF28" w14:textId="77777777" w:rsidR="00946EA2" w:rsidRDefault="00D56F96">
            <w:pPr>
              <w:snapToGrid/>
              <w:spacing w:beforeLines="20" w:before="48" w:afterLines="20" w:after="48"/>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14:paraId="2A5C6123" w14:textId="77777777" w:rsidR="00946EA2" w:rsidRDefault="00D56F96">
            <w:pPr>
              <w:snapToGrid/>
              <w:spacing w:beforeLines="20" w:before="48" w:afterLines="20" w:after="48"/>
              <w:rPr>
                <w:rFonts w:ascii="方正仿宋简体" w:eastAsia="方正仿宋简体"/>
                <w:sz w:val="24"/>
                <w:szCs w:val="24"/>
              </w:rPr>
            </w:pPr>
            <w:r>
              <w:rPr>
                <w:rFonts w:ascii="方正仿宋简体" w:eastAsia="方正仿宋简体" w:hint="eastAsia"/>
                <w:sz w:val="24"/>
                <w:szCs w:val="24"/>
              </w:rPr>
              <w:t>2022</w:t>
            </w:r>
            <w:r>
              <w:rPr>
                <w:rFonts w:ascii="方正仿宋简体" w:eastAsia="方正仿宋简体" w:hint="eastAsia"/>
                <w:sz w:val="24"/>
                <w:szCs w:val="24"/>
              </w:rPr>
              <w:t>年</w:t>
            </w:r>
            <w:r>
              <w:rPr>
                <w:rFonts w:ascii="方正仿宋简体" w:eastAsia="方正仿宋简体" w:hint="eastAsia"/>
                <w:sz w:val="24"/>
                <w:szCs w:val="24"/>
              </w:rPr>
              <w:t>05</w:t>
            </w:r>
            <w:r>
              <w:rPr>
                <w:rFonts w:ascii="方正仿宋简体" w:eastAsia="方正仿宋简体" w:hint="eastAsia"/>
                <w:sz w:val="24"/>
                <w:szCs w:val="24"/>
              </w:rPr>
              <w:t>月</w:t>
            </w:r>
            <w:r>
              <w:rPr>
                <w:rFonts w:ascii="方正仿宋简体" w:eastAsia="方正仿宋简体" w:hint="eastAsia"/>
                <w:sz w:val="24"/>
                <w:szCs w:val="24"/>
              </w:rPr>
              <w:t>12</w:t>
            </w:r>
            <w:r>
              <w:rPr>
                <w:rFonts w:ascii="方正仿宋简体" w:eastAsia="方正仿宋简体" w:hint="eastAsia"/>
                <w:sz w:val="24"/>
                <w:szCs w:val="24"/>
              </w:rPr>
              <w:t>日</w:t>
            </w:r>
          </w:p>
        </w:tc>
      </w:tr>
      <w:tr w:rsidR="00946EA2" w14:paraId="64D85282" w14:textId="77777777">
        <w:trPr>
          <w:trHeight w:val="663"/>
          <w:jc w:val="center"/>
        </w:trPr>
        <w:tc>
          <w:tcPr>
            <w:tcW w:w="2894" w:type="dxa"/>
            <w:vAlign w:val="center"/>
          </w:tcPr>
          <w:p w14:paraId="7198A63A" w14:textId="77777777" w:rsidR="00946EA2" w:rsidRDefault="00D56F96">
            <w:pPr>
              <w:snapToGrid/>
              <w:spacing w:beforeLines="20" w:before="48" w:afterLines="20" w:after="48"/>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14:paraId="082DEC8B" w14:textId="77777777" w:rsidR="00946EA2" w:rsidRDefault="00D56F96">
            <w:pPr>
              <w:snapToGrid/>
              <w:spacing w:beforeLines="20" w:before="48" w:afterLines="20" w:after="48"/>
              <w:rPr>
                <w:rFonts w:ascii="方正仿宋简体" w:eastAsia="方正仿宋简体"/>
                <w:sz w:val="24"/>
                <w:szCs w:val="24"/>
              </w:rPr>
            </w:pPr>
            <w:r>
              <w:rPr>
                <w:rFonts w:ascii="方正仿宋简体" w:eastAsia="方正仿宋简体" w:hint="eastAsia"/>
                <w:sz w:val="24"/>
                <w:szCs w:val="24"/>
              </w:rPr>
              <w:t>364,333,786.22</w:t>
            </w:r>
            <w:r>
              <w:rPr>
                <w:rFonts w:ascii="方正仿宋简体" w:eastAsia="方正仿宋简体" w:hint="eastAsia"/>
                <w:sz w:val="24"/>
                <w:szCs w:val="24"/>
              </w:rPr>
              <w:t>份</w:t>
            </w:r>
          </w:p>
        </w:tc>
      </w:tr>
      <w:tr w:rsidR="00946EA2" w14:paraId="7590DECC" w14:textId="77777777">
        <w:trPr>
          <w:trHeight w:val="639"/>
          <w:jc w:val="center"/>
        </w:trPr>
        <w:tc>
          <w:tcPr>
            <w:tcW w:w="2894" w:type="dxa"/>
            <w:vAlign w:val="center"/>
          </w:tcPr>
          <w:p w14:paraId="59E2200A" w14:textId="77777777" w:rsidR="00946EA2" w:rsidRDefault="00D56F96">
            <w:pPr>
              <w:snapToGrid/>
              <w:spacing w:beforeLines="20" w:before="48" w:afterLines="20" w:after="48"/>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14:paraId="52F3FF2A" w14:textId="77777777" w:rsidR="00946EA2" w:rsidRDefault="00D56F96">
            <w:pPr>
              <w:snapToGrid/>
              <w:spacing w:beforeLines="20" w:before="48" w:afterLines="20" w:after="48"/>
              <w:rPr>
                <w:rFonts w:ascii="方正仿宋简体" w:eastAsia="方正仿宋简体"/>
                <w:sz w:val="24"/>
                <w:szCs w:val="24"/>
              </w:rPr>
            </w:pPr>
            <w:r>
              <w:rPr>
                <w:rFonts w:ascii="方正仿宋简体" w:eastAsia="方正仿宋简体" w:hint="eastAsia"/>
                <w:sz w:val="24"/>
                <w:szCs w:val="24"/>
              </w:rPr>
              <w:t>中信期货有限公司</w:t>
            </w:r>
            <w:r>
              <w:rPr>
                <w:rFonts w:ascii="方正仿宋简体" w:eastAsia="方正仿宋简体" w:hint="eastAsia"/>
                <w:sz w:val="24"/>
                <w:szCs w:val="24"/>
              </w:rPr>
              <w:t>,</w:t>
            </w:r>
            <w:r>
              <w:rPr>
                <w:rFonts w:ascii="方正仿宋简体" w:eastAsia="方正仿宋简体" w:hint="eastAsia"/>
                <w:sz w:val="24"/>
                <w:szCs w:val="24"/>
              </w:rPr>
              <w:t>中庚基金管理有限公司</w:t>
            </w:r>
            <w:r>
              <w:rPr>
                <w:rFonts w:ascii="方正仿宋简体" w:eastAsia="方正仿宋简体" w:hint="eastAsia"/>
                <w:sz w:val="24"/>
                <w:szCs w:val="24"/>
              </w:rPr>
              <w:t>,</w:t>
            </w:r>
            <w:r>
              <w:rPr>
                <w:rFonts w:ascii="方正仿宋简体" w:eastAsia="方正仿宋简体" w:hint="eastAsia"/>
                <w:sz w:val="24"/>
                <w:szCs w:val="24"/>
              </w:rPr>
              <w:t>中欧基金管理有限公司</w:t>
            </w:r>
            <w:r>
              <w:rPr>
                <w:rFonts w:ascii="方正仿宋简体" w:eastAsia="方正仿宋简体" w:hint="eastAsia"/>
                <w:sz w:val="24"/>
                <w:szCs w:val="24"/>
              </w:rPr>
              <w:t>,</w:t>
            </w:r>
            <w:r>
              <w:rPr>
                <w:rFonts w:ascii="方正仿宋简体" w:eastAsia="方正仿宋简体" w:hint="eastAsia"/>
                <w:sz w:val="24"/>
                <w:szCs w:val="24"/>
              </w:rPr>
              <w:t>华夏基金管理有限公司</w:t>
            </w:r>
            <w:r>
              <w:rPr>
                <w:rFonts w:ascii="方正仿宋简体" w:eastAsia="方正仿宋简体" w:hint="eastAsia"/>
                <w:sz w:val="24"/>
                <w:szCs w:val="24"/>
              </w:rPr>
              <w:t>,</w:t>
            </w:r>
            <w:r>
              <w:rPr>
                <w:rFonts w:ascii="方正仿宋简体" w:eastAsia="方正仿宋简体" w:hint="eastAsia"/>
                <w:sz w:val="24"/>
                <w:szCs w:val="24"/>
              </w:rPr>
              <w:t>华安基金管理有限公司</w:t>
            </w:r>
            <w:r>
              <w:rPr>
                <w:rFonts w:ascii="方正仿宋简体" w:eastAsia="方正仿宋简体" w:hint="eastAsia"/>
                <w:sz w:val="24"/>
                <w:szCs w:val="24"/>
              </w:rPr>
              <w:t>,</w:t>
            </w:r>
            <w:r>
              <w:rPr>
                <w:rFonts w:ascii="方正仿宋简体" w:eastAsia="方正仿宋简体" w:hint="eastAsia"/>
                <w:sz w:val="24"/>
                <w:szCs w:val="24"/>
              </w:rPr>
              <w:t>华宝基金管理有限公司</w:t>
            </w:r>
            <w:r>
              <w:rPr>
                <w:rFonts w:ascii="方正仿宋简体" w:eastAsia="方正仿宋简体" w:hint="eastAsia"/>
                <w:sz w:val="24"/>
                <w:szCs w:val="24"/>
              </w:rPr>
              <w:t>,</w:t>
            </w:r>
            <w:r>
              <w:rPr>
                <w:rFonts w:ascii="方正仿宋简体" w:eastAsia="方正仿宋简体" w:hint="eastAsia"/>
                <w:sz w:val="24"/>
                <w:szCs w:val="24"/>
              </w:rPr>
              <w:t>嘉实基金管理有限公司</w:t>
            </w:r>
            <w:r>
              <w:rPr>
                <w:rFonts w:ascii="方正仿宋简体" w:eastAsia="方正仿宋简体" w:hint="eastAsia"/>
                <w:sz w:val="24"/>
                <w:szCs w:val="24"/>
              </w:rPr>
              <w:t>,</w:t>
            </w:r>
            <w:r>
              <w:rPr>
                <w:rFonts w:ascii="方正仿宋简体" w:eastAsia="方正仿宋简体" w:hint="eastAsia"/>
                <w:sz w:val="24"/>
                <w:szCs w:val="24"/>
              </w:rPr>
              <w:t>大成基金管理有限公司</w:t>
            </w:r>
            <w:r>
              <w:rPr>
                <w:rFonts w:ascii="方正仿宋简体" w:eastAsia="方正仿宋简体" w:hint="eastAsia"/>
                <w:sz w:val="24"/>
                <w:szCs w:val="24"/>
              </w:rPr>
              <w:t>,</w:t>
            </w:r>
            <w:r>
              <w:rPr>
                <w:rFonts w:ascii="方正仿宋简体" w:eastAsia="方正仿宋简体" w:hint="eastAsia"/>
                <w:sz w:val="24"/>
                <w:szCs w:val="24"/>
              </w:rPr>
              <w:t>富国基金管理有限公司</w:t>
            </w:r>
            <w:r>
              <w:rPr>
                <w:rFonts w:ascii="方正仿宋简体" w:eastAsia="方正仿宋简体" w:hint="eastAsia"/>
                <w:sz w:val="24"/>
                <w:szCs w:val="24"/>
              </w:rPr>
              <w:t>,</w:t>
            </w:r>
            <w:r>
              <w:rPr>
                <w:rFonts w:ascii="方正仿宋简体" w:eastAsia="方正仿宋简体" w:hint="eastAsia"/>
                <w:sz w:val="24"/>
                <w:szCs w:val="24"/>
              </w:rPr>
              <w:t>平安基金管理有限公司</w:t>
            </w:r>
            <w:r>
              <w:rPr>
                <w:rFonts w:ascii="方正仿宋简体" w:eastAsia="方正仿宋简体" w:hint="eastAsia"/>
                <w:sz w:val="24"/>
                <w:szCs w:val="24"/>
              </w:rPr>
              <w:t>,</w:t>
            </w:r>
            <w:r>
              <w:rPr>
                <w:rFonts w:ascii="方正仿宋简体" w:eastAsia="方正仿宋简体" w:hint="eastAsia"/>
                <w:sz w:val="24"/>
                <w:szCs w:val="24"/>
              </w:rPr>
              <w:t>鑫元基金管理有限公司</w:t>
            </w:r>
            <w:r>
              <w:rPr>
                <w:rFonts w:ascii="方正仿宋简体" w:eastAsia="方正仿宋简体" w:hint="eastAsia"/>
                <w:sz w:val="24"/>
                <w:szCs w:val="24"/>
              </w:rPr>
              <w:t>,</w:t>
            </w:r>
            <w:r>
              <w:rPr>
                <w:rFonts w:ascii="方正仿宋简体" w:eastAsia="方正仿宋简体" w:hint="eastAsia"/>
                <w:sz w:val="24"/>
                <w:szCs w:val="24"/>
              </w:rPr>
              <w:t>鑫沅资产管理有限公司</w:t>
            </w:r>
            <w:r>
              <w:rPr>
                <w:rFonts w:ascii="方正仿宋简体" w:eastAsia="方正仿宋简体" w:hint="eastAsia"/>
                <w:sz w:val="24"/>
                <w:szCs w:val="24"/>
              </w:rPr>
              <w:t>,</w:t>
            </w:r>
            <w:r>
              <w:rPr>
                <w:rFonts w:ascii="方正仿宋简体" w:eastAsia="方正仿宋简体" w:hint="eastAsia"/>
                <w:sz w:val="24"/>
                <w:szCs w:val="24"/>
              </w:rPr>
              <w:t>易方达基金管理有限公司</w:t>
            </w:r>
            <w:r>
              <w:rPr>
                <w:rFonts w:ascii="方正仿宋简体" w:eastAsia="方正仿宋简体" w:hint="eastAsia"/>
                <w:sz w:val="24"/>
                <w:szCs w:val="24"/>
              </w:rPr>
              <w:t>,</w:t>
            </w:r>
            <w:r>
              <w:rPr>
                <w:rFonts w:ascii="方正仿宋简体" w:eastAsia="方正仿宋简体" w:hint="eastAsia"/>
                <w:sz w:val="24"/>
                <w:szCs w:val="24"/>
              </w:rPr>
              <w:t>兴证全球基金管理有限公司</w:t>
            </w:r>
            <w:r>
              <w:rPr>
                <w:rFonts w:ascii="方正仿宋简体" w:eastAsia="方正仿宋简体" w:hint="eastAsia"/>
                <w:sz w:val="24"/>
                <w:szCs w:val="24"/>
              </w:rPr>
              <w:t>,</w:t>
            </w:r>
            <w:r>
              <w:rPr>
                <w:rFonts w:ascii="方正仿宋简体" w:eastAsia="方正仿宋简体" w:hint="eastAsia"/>
                <w:sz w:val="24"/>
                <w:szCs w:val="24"/>
              </w:rPr>
              <w:t>华泰柏瑞基金管理有限公司</w:t>
            </w:r>
            <w:r>
              <w:rPr>
                <w:rFonts w:ascii="方正仿宋简体" w:eastAsia="方正仿宋简体" w:hint="eastAsia"/>
                <w:sz w:val="24"/>
                <w:szCs w:val="24"/>
              </w:rPr>
              <w:t>,</w:t>
            </w:r>
            <w:r>
              <w:rPr>
                <w:rFonts w:ascii="方正仿宋简体" w:eastAsia="方正仿宋简体" w:hint="eastAsia"/>
                <w:sz w:val="24"/>
                <w:szCs w:val="24"/>
              </w:rPr>
              <w:t>南方基金管理股份有限公司</w:t>
            </w:r>
            <w:r>
              <w:rPr>
                <w:rFonts w:ascii="方正仿宋简体" w:eastAsia="方正仿宋简体" w:hint="eastAsia"/>
                <w:sz w:val="24"/>
                <w:szCs w:val="24"/>
              </w:rPr>
              <w:t>,</w:t>
            </w:r>
            <w:r>
              <w:rPr>
                <w:rFonts w:ascii="方正仿宋简体" w:eastAsia="方正仿宋简体" w:hint="eastAsia"/>
                <w:sz w:val="24"/>
                <w:szCs w:val="24"/>
              </w:rPr>
              <w:t>景顺长城基金管理有限公司</w:t>
            </w:r>
          </w:p>
        </w:tc>
      </w:tr>
      <w:tr w:rsidR="00946EA2" w14:paraId="3E457966" w14:textId="77777777">
        <w:trPr>
          <w:trHeight w:val="663"/>
          <w:jc w:val="center"/>
        </w:trPr>
        <w:tc>
          <w:tcPr>
            <w:tcW w:w="2894" w:type="dxa"/>
            <w:vAlign w:val="center"/>
          </w:tcPr>
          <w:p w14:paraId="51C03191" w14:textId="77777777" w:rsidR="00946EA2" w:rsidRDefault="00D56F96">
            <w:pPr>
              <w:snapToGrid/>
              <w:spacing w:beforeLines="20" w:before="48" w:afterLines="20" w:after="48"/>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14:paraId="553A7273" w14:textId="77777777" w:rsidR="00946EA2" w:rsidRDefault="00D56F96">
            <w:pPr>
              <w:snapToGrid/>
              <w:spacing w:beforeLines="20" w:before="48" w:afterLines="20" w:after="48"/>
              <w:rPr>
                <w:rFonts w:ascii="方正仿宋简体" w:eastAsia="方正仿宋简体"/>
                <w:sz w:val="24"/>
                <w:szCs w:val="24"/>
              </w:rPr>
            </w:pPr>
            <w:r>
              <w:rPr>
                <w:rFonts w:ascii="方正仿宋简体" w:eastAsia="方正仿宋简体" w:hint="eastAsia"/>
                <w:sz w:val="24"/>
                <w:szCs w:val="24"/>
              </w:rPr>
              <w:t>南银理财有限责任公司</w:t>
            </w:r>
          </w:p>
        </w:tc>
      </w:tr>
      <w:tr w:rsidR="00946EA2" w14:paraId="5EB828DB" w14:textId="77777777">
        <w:trPr>
          <w:trHeight w:val="663"/>
          <w:jc w:val="center"/>
        </w:trPr>
        <w:tc>
          <w:tcPr>
            <w:tcW w:w="2894" w:type="dxa"/>
            <w:vAlign w:val="center"/>
          </w:tcPr>
          <w:p w14:paraId="0A4F0CCF" w14:textId="77777777" w:rsidR="00946EA2" w:rsidRDefault="00D56F96">
            <w:pPr>
              <w:snapToGrid/>
              <w:spacing w:beforeLines="20" w:before="48" w:afterLines="20" w:after="48"/>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14:paraId="15AB1102" w14:textId="77777777" w:rsidR="00946EA2" w:rsidRDefault="00D56F96">
            <w:pPr>
              <w:snapToGrid/>
              <w:spacing w:beforeLines="20" w:before="48" w:afterLines="20" w:after="48"/>
              <w:rPr>
                <w:rFonts w:ascii="方正仿宋简体" w:eastAsia="方正仿宋简体"/>
                <w:sz w:val="24"/>
                <w:szCs w:val="24"/>
              </w:rPr>
            </w:pPr>
            <w:r>
              <w:rPr>
                <w:rFonts w:ascii="方正仿宋简体" w:eastAsia="方正仿宋简体" w:hint="eastAsia"/>
                <w:sz w:val="24"/>
                <w:szCs w:val="24"/>
              </w:rPr>
              <w:t>南京银行股份有限公司</w:t>
            </w:r>
          </w:p>
        </w:tc>
      </w:tr>
    </w:tbl>
    <w:p w14:paraId="5A043D10" w14:textId="77777777" w:rsidR="00946EA2" w:rsidRDefault="00946EA2">
      <w:pPr>
        <w:spacing w:before="240" w:after="72" w:line="360" w:lineRule="auto"/>
        <w:rPr>
          <w:rFonts w:ascii="方正仿宋_GBK" w:eastAsia="方正仿宋_GBK" w:hAnsi="宋体" w:cs="宋体"/>
          <w:kern w:val="0"/>
          <w:sz w:val="24"/>
          <w:szCs w:val="24"/>
        </w:rPr>
      </w:pPr>
    </w:p>
    <w:p w14:paraId="6FA7710A" w14:textId="77777777" w:rsidR="00946EA2" w:rsidRDefault="00D56F9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14:paraId="05A891DC" w14:textId="77777777" w:rsidR="00946EA2" w:rsidRDefault="00D56F9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14:paraId="2EF056E7" w14:textId="77777777" w:rsidR="00946EA2" w:rsidRDefault="00D56F96">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6"/>
        <w:gridCol w:w="2705"/>
        <w:gridCol w:w="2030"/>
        <w:gridCol w:w="2036"/>
      </w:tblGrid>
      <w:tr w:rsidR="00946EA2" w14:paraId="680A6189" w14:textId="77777777">
        <w:trPr>
          <w:trHeight w:val="613"/>
          <w:jc w:val="center"/>
        </w:trPr>
        <w:tc>
          <w:tcPr>
            <w:tcW w:w="2296" w:type="dxa"/>
            <w:vMerge w:val="restart"/>
            <w:vAlign w:val="center"/>
          </w:tcPr>
          <w:p w14:paraId="55429550" w14:textId="77777777" w:rsidR="00946EA2" w:rsidRDefault="00D56F96">
            <w:pPr>
              <w:spacing w:beforeLines="20" w:before="48" w:afterLines="20" w:after="48"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14:paraId="7666FD25" w14:textId="77777777" w:rsidR="00946EA2" w:rsidRDefault="00D56F96">
            <w:pPr>
              <w:snapToGrid/>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2025</w:t>
            </w:r>
            <w:r>
              <w:rPr>
                <w:rFonts w:ascii="方正仿宋简体" w:eastAsia="方正仿宋简体" w:hint="eastAsia"/>
                <w:sz w:val="24"/>
                <w:szCs w:val="24"/>
              </w:rPr>
              <w:t>年</w:t>
            </w:r>
            <w:r>
              <w:rPr>
                <w:rFonts w:ascii="方正仿宋简体" w:eastAsia="方正仿宋简体" w:hint="eastAsia"/>
                <w:sz w:val="24"/>
                <w:szCs w:val="24"/>
              </w:rPr>
              <w:t>10</w:t>
            </w:r>
            <w:r>
              <w:rPr>
                <w:rFonts w:ascii="方正仿宋简体" w:eastAsia="方正仿宋简体" w:hint="eastAsia"/>
                <w:sz w:val="24"/>
                <w:szCs w:val="24"/>
              </w:rPr>
              <w:t>月</w:t>
            </w:r>
            <w:r>
              <w:rPr>
                <w:rFonts w:ascii="方正仿宋简体" w:eastAsia="方正仿宋简体" w:hint="eastAsia"/>
                <w:sz w:val="24"/>
                <w:szCs w:val="24"/>
              </w:rPr>
              <w:t>01</w:t>
            </w:r>
            <w:r>
              <w:rPr>
                <w:rFonts w:ascii="方正仿宋简体" w:eastAsia="方正仿宋简体" w:hint="eastAsia"/>
                <w:sz w:val="24"/>
                <w:szCs w:val="24"/>
              </w:rPr>
              <w:t>日</w:t>
            </w:r>
            <w:r>
              <w:rPr>
                <w:rFonts w:ascii="方正仿宋简体" w:eastAsia="方正仿宋简体" w:hint="eastAsia"/>
                <w:sz w:val="24"/>
                <w:szCs w:val="24"/>
              </w:rPr>
              <w:t xml:space="preserve"> - 2025</w:t>
            </w:r>
            <w:r>
              <w:rPr>
                <w:rFonts w:ascii="方正仿宋简体" w:eastAsia="方正仿宋简体" w:hint="eastAsia"/>
                <w:sz w:val="24"/>
                <w:szCs w:val="24"/>
              </w:rPr>
              <w:t>年</w:t>
            </w:r>
            <w:r>
              <w:rPr>
                <w:rFonts w:ascii="方正仿宋简体" w:eastAsia="方正仿宋简体" w:hint="eastAsia"/>
                <w:sz w:val="24"/>
                <w:szCs w:val="24"/>
              </w:rPr>
              <w:t>12</w:t>
            </w:r>
            <w:r>
              <w:rPr>
                <w:rFonts w:ascii="方正仿宋简体" w:eastAsia="方正仿宋简体" w:hint="eastAsia"/>
                <w:sz w:val="24"/>
                <w:szCs w:val="24"/>
              </w:rPr>
              <w:t>月</w:t>
            </w:r>
            <w:r>
              <w:rPr>
                <w:rFonts w:ascii="方正仿宋简体" w:eastAsia="方正仿宋简体" w:hint="eastAsia"/>
                <w:sz w:val="24"/>
                <w:szCs w:val="24"/>
              </w:rPr>
              <w:t>31</w:t>
            </w:r>
            <w:r>
              <w:rPr>
                <w:rFonts w:ascii="方正仿宋简体" w:eastAsia="方正仿宋简体" w:hint="eastAsia"/>
                <w:sz w:val="24"/>
                <w:szCs w:val="24"/>
              </w:rPr>
              <w:t>日）</w:t>
            </w:r>
          </w:p>
        </w:tc>
      </w:tr>
      <w:tr w:rsidR="00946EA2" w14:paraId="48894C66" w14:textId="77777777">
        <w:trPr>
          <w:trHeight w:val="1664"/>
          <w:jc w:val="center"/>
        </w:trPr>
        <w:tc>
          <w:tcPr>
            <w:tcW w:w="2296" w:type="dxa"/>
            <w:vMerge/>
            <w:vAlign w:val="center"/>
          </w:tcPr>
          <w:p w14:paraId="714CB097" w14:textId="77777777" w:rsidR="00946EA2" w:rsidRDefault="00946EA2">
            <w:pPr>
              <w:spacing w:beforeLines="20" w:before="48" w:afterLines="20" w:after="48" w:line="360" w:lineRule="auto"/>
              <w:jc w:val="center"/>
              <w:rPr>
                <w:rFonts w:ascii="方正仿宋简体" w:eastAsia="方正仿宋简体"/>
                <w:sz w:val="24"/>
                <w:szCs w:val="24"/>
              </w:rPr>
            </w:pPr>
          </w:p>
        </w:tc>
        <w:tc>
          <w:tcPr>
            <w:tcW w:w="2705" w:type="dxa"/>
            <w:vAlign w:val="center"/>
          </w:tcPr>
          <w:p w14:paraId="261F794F" w14:textId="77777777" w:rsidR="00946EA2" w:rsidRDefault="00D56F96">
            <w:pPr>
              <w:snapToGrid/>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14:paraId="207D8745" w14:textId="77777777" w:rsidR="00946EA2" w:rsidRDefault="00D56F96">
            <w:pPr>
              <w:snapToGrid/>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14:paraId="0ABB250E" w14:textId="77777777" w:rsidR="00946EA2" w:rsidRDefault="00D56F96">
            <w:pPr>
              <w:snapToGrid/>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rsidR="00946EA2" w14:paraId="349772CB" w14:textId="77777777">
        <w:tblPrEx>
          <w:tblBorders>
            <w:top w:val="single" w:sz="1" w:space="0" w:color="000000"/>
            <w:left w:val="single" w:sz="1" w:space="0" w:color="000000"/>
            <w:bottom w:val="single" w:sz="1" w:space="0" w:color="000000"/>
            <w:right w:val="single" w:sz="1" w:space="0" w:color="000000"/>
          </w:tblBorders>
        </w:tblPrEx>
        <w:trPr>
          <w:trHeight w:val="557"/>
          <w:jc w:val="center"/>
        </w:trPr>
        <w:tc>
          <w:tcPr>
            <w:tcW w:w="2296" w:type="dxa"/>
            <w:vAlign w:val="center"/>
          </w:tcPr>
          <w:p w14:paraId="5644B560" w14:textId="77777777" w:rsidR="00946EA2" w:rsidRDefault="00D56F96">
            <w:pPr>
              <w:spacing w:beforeLines="20" w:before="48" w:afterLines="20" w:after="48"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Z99005</w:t>
            </w:r>
          </w:p>
        </w:tc>
        <w:tc>
          <w:tcPr>
            <w:tcW w:w="2705" w:type="dxa"/>
            <w:vAlign w:val="center"/>
          </w:tcPr>
          <w:p w14:paraId="24EF194A" w14:textId="77777777" w:rsidR="00946EA2" w:rsidRDefault="00D56F96">
            <w:pPr>
              <w:spacing w:beforeLines="20" w:before="48" w:afterLines="20" w:after="48"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393,177,613.99</w:t>
            </w:r>
          </w:p>
        </w:tc>
        <w:tc>
          <w:tcPr>
            <w:tcW w:w="2030" w:type="dxa"/>
            <w:vAlign w:val="center"/>
          </w:tcPr>
          <w:p w14:paraId="03A9F790" w14:textId="77777777" w:rsidR="00946EA2" w:rsidRDefault="00D56F96">
            <w:pPr>
              <w:spacing w:beforeLines="20" w:before="48" w:afterLines="20" w:after="48"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1.0791</w:t>
            </w:r>
          </w:p>
        </w:tc>
        <w:tc>
          <w:tcPr>
            <w:tcW w:w="2036" w:type="dxa"/>
            <w:vAlign w:val="center"/>
          </w:tcPr>
          <w:p w14:paraId="2A8B1453" w14:textId="77777777" w:rsidR="00946EA2" w:rsidRDefault="00D56F96">
            <w:pPr>
              <w:spacing w:beforeLines="20" w:before="48" w:afterLines="20" w:after="48"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1.0791</w:t>
            </w:r>
          </w:p>
        </w:tc>
      </w:tr>
    </w:tbl>
    <w:p w14:paraId="311BA9E4" w14:textId="77777777" w:rsidR="00946EA2" w:rsidRDefault="00D56F96">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14:paraId="0D5168FF" w14:textId="77777777" w:rsidR="00946EA2" w:rsidRDefault="00946EA2">
      <w:pPr>
        <w:spacing w:before="240" w:after="72" w:line="360" w:lineRule="auto"/>
        <w:rPr>
          <w:rFonts w:ascii="方正仿宋_GBK" w:eastAsia="方正仿宋_GBK"/>
          <w:sz w:val="24"/>
          <w:szCs w:val="24"/>
        </w:rPr>
      </w:pPr>
    </w:p>
    <w:p w14:paraId="0735B7F6" w14:textId="77777777" w:rsidR="00946EA2" w:rsidRDefault="00D56F9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14:paraId="32DF0A1F" w14:textId="77777777" w:rsidR="00946EA2" w:rsidRDefault="00D56F96">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5"/>
        <w:gridCol w:w="2095"/>
        <w:gridCol w:w="2322"/>
      </w:tblGrid>
      <w:tr w:rsidR="00946EA2" w14:paraId="74BD888D" w14:textId="77777777">
        <w:trPr>
          <w:jc w:val="center"/>
        </w:trPr>
        <w:tc>
          <w:tcPr>
            <w:tcW w:w="4485" w:type="dxa"/>
            <w:vAlign w:val="center"/>
          </w:tcPr>
          <w:p w14:paraId="3194121E" w14:textId="77777777" w:rsidR="00946EA2" w:rsidRDefault="00D56F96">
            <w:pPr>
              <w:snapToGrid/>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14:paraId="1887CDFC" w14:textId="77777777" w:rsidR="00946EA2" w:rsidRDefault="00D56F96">
            <w:pPr>
              <w:snapToGrid/>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14:paraId="2CF60228" w14:textId="77777777" w:rsidR="00946EA2" w:rsidRDefault="00D56F96">
            <w:pPr>
              <w:snapToGrid/>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业绩比较基准</w:t>
            </w:r>
          </w:p>
        </w:tc>
      </w:tr>
      <w:tr w:rsidR="00946EA2" w14:paraId="22553BD0" w14:textId="77777777">
        <w:tblPrEx>
          <w:tblBorders>
            <w:top w:val="single" w:sz="1" w:space="0" w:color="000000"/>
            <w:left w:val="single" w:sz="1" w:space="0" w:color="000000"/>
            <w:bottom w:val="single" w:sz="1" w:space="0" w:color="000000"/>
            <w:right w:val="single" w:sz="1" w:space="0" w:color="000000"/>
          </w:tblBorders>
        </w:tblPrEx>
        <w:trPr>
          <w:jc w:val="center"/>
        </w:trPr>
        <w:tc>
          <w:tcPr>
            <w:tcW w:w="4485" w:type="dxa"/>
            <w:vAlign w:val="center"/>
          </w:tcPr>
          <w:p w14:paraId="262C8921" w14:textId="77777777" w:rsidR="00946EA2" w:rsidRDefault="00D56F96">
            <w:pPr>
              <w:snapToGrid/>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2025</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11</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04</w:t>
            </w:r>
            <w:r>
              <w:rPr>
                <w:rFonts w:ascii="方正仿宋简体" w:eastAsia="方正仿宋简体" w:hAnsi="方正仿宋简体" w:cs="方正仿宋简体"/>
                <w:sz w:val="24"/>
              </w:rPr>
              <w:t>日</w:t>
            </w:r>
            <w:r>
              <w:rPr>
                <w:rFonts w:ascii="方正仿宋简体" w:eastAsia="方正仿宋简体" w:hAnsi="方正仿宋简体" w:cs="方正仿宋简体"/>
                <w:sz w:val="24"/>
              </w:rPr>
              <w:t xml:space="preserve"> - 2025</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12</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31</w:t>
            </w:r>
            <w:r>
              <w:rPr>
                <w:rFonts w:ascii="方正仿宋简体" w:eastAsia="方正仿宋简体" w:hAnsi="方正仿宋简体" w:cs="方正仿宋简体"/>
                <w:sz w:val="24"/>
              </w:rPr>
              <w:t>日</w:t>
            </w:r>
          </w:p>
        </w:tc>
        <w:tc>
          <w:tcPr>
            <w:tcW w:w="2095" w:type="dxa"/>
            <w:vAlign w:val="center"/>
          </w:tcPr>
          <w:p w14:paraId="15956CDD" w14:textId="77777777" w:rsidR="00946EA2" w:rsidRDefault="00D56F96">
            <w:pPr>
              <w:snapToGrid/>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Z99005</w:t>
            </w:r>
          </w:p>
        </w:tc>
        <w:tc>
          <w:tcPr>
            <w:tcW w:w="2322" w:type="dxa"/>
            <w:vAlign w:val="center"/>
          </w:tcPr>
          <w:p w14:paraId="207E24C4" w14:textId="1B877247" w:rsidR="00946EA2" w:rsidRDefault="00D14451">
            <w:pPr>
              <w:snapToGrid/>
              <w:spacing w:beforeLines="20" w:before="48" w:afterLines="20" w:after="48"/>
              <w:jc w:val="center"/>
              <w:textAlignment w:val="center"/>
              <w:rPr>
                <w:rFonts w:ascii="方正仿宋简体" w:eastAsia="方正仿宋简体"/>
                <w:sz w:val="24"/>
                <w:szCs w:val="24"/>
              </w:rPr>
            </w:pPr>
            <w:r>
              <w:rPr>
                <w:rFonts w:ascii="方正仿宋简体" w:eastAsia="方正仿宋简体" w:hint="eastAsia"/>
                <w:sz w:val="24"/>
                <w:szCs w:val="24"/>
              </w:rPr>
              <w:t>0</w:t>
            </w:r>
            <w:r>
              <w:rPr>
                <w:rFonts w:ascii="方正仿宋简体" w:eastAsia="方正仿宋简体"/>
                <w:sz w:val="24"/>
                <w:szCs w:val="24"/>
              </w:rPr>
              <w:t>.01</w:t>
            </w:r>
            <w:r>
              <w:rPr>
                <w:rFonts w:ascii="方正仿宋简体" w:eastAsia="方正仿宋简体" w:hint="eastAsia"/>
                <w:sz w:val="24"/>
                <w:szCs w:val="24"/>
              </w:rPr>
              <w:t>%</w:t>
            </w:r>
          </w:p>
        </w:tc>
      </w:tr>
    </w:tbl>
    <w:p w14:paraId="3AE44E6A" w14:textId="77777777" w:rsidR="00946EA2" w:rsidRDefault="00946EA2">
      <w:pPr>
        <w:spacing w:before="240" w:after="72" w:line="360" w:lineRule="auto"/>
        <w:rPr>
          <w:rFonts w:ascii="方正仿宋_GBK" w:eastAsia="方正仿宋_GBK"/>
          <w:sz w:val="24"/>
          <w:szCs w:val="24"/>
        </w:rPr>
      </w:pPr>
    </w:p>
    <w:p w14:paraId="63A106A8" w14:textId="77777777" w:rsidR="00946EA2" w:rsidRDefault="00D56F9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14:paraId="3389462E" w14:textId="77777777" w:rsidR="00946EA2" w:rsidRDefault="00D56F9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14:paraId="345622CF" w14:textId="77777777" w:rsidR="00946EA2" w:rsidRDefault="00D56F96">
      <w:pPr>
        <w:spacing w:before="240" w:after="72" w:line="360" w:lineRule="auto"/>
        <w:rPr>
          <w:rFonts w:ascii="方正仿宋简体" w:eastAsia="方正仿宋简体"/>
          <w:sz w:val="24"/>
          <w:szCs w:val="24"/>
        </w:rPr>
      </w:pPr>
      <w:r>
        <w:rPr>
          <w:rFonts w:ascii="方正仿宋简体" w:eastAsia="方正仿宋简体" w:hint="eastAsia"/>
          <w:sz w:val="24"/>
          <w:szCs w:val="24"/>
        </w:rPr>
        <w:t>  固收方面，</w:t>
      </w:r>
      <w:r>
        <w:rPr>
          <w:rFonts w:ascii="方正仿宋简体" w:eastAsia="方正仿宋简体" w:hint="eastAsia"/>
          <w:sz w:val="24"/>
          <w:szCs w:val="24"/>
        </w:rPr>
        <w:t>2025</w:t>
      </w:r>
      <w:r>
        <w:rPr>
          <w:rFonts w:ascii="方正仿宋简体" w:eastAsia="方正仿宋简体" w:hint="eastAsia"/>
          <w:sz w:val="24"/>
          <w:szCs w:val="24"/>
        </w:rPr>
        <w:t>年债市收益率总体震荡上行，短端表现相对较好。虽然从全年维度来看，流动性层面央行态度整体维持宽松，经济基本面角度货币和信贷周期、物价因子修复速率呈现前高后低的态势，但是债市对</w:t>
      </w:r>
      <w:r>
        <w:rPr>
          <w:rFonts w:ascii="方正仿宋简体" w:eastAsia="方正仿宋简体" w:hint="eastAsia"/>
          <w:sz w:val="24"/>
          <w:szCs w:val="24"/>
        </w:rPr>
        <w:t>2024</w:t>
      </w:r>
      <w:r>
        <w:rPr>
          <w:rFonts w:ascii="方正仿宋简体" w:eastAsia="方正仿宋简体" w:hint="eastAsia"/>
          <w:sz w:val="24"/>
          <w:szCs w:val="24"/>
        </w:rPr>
        <w:t>年利率快速下行“透支”行情的修正较为持续，特别是一季度的央行公开市场投放持续偏紧和下半年的债基销售规则、税费改革等负面事件压制债市，长久期资产受到负债端扰动更加明显，</w:t>
      </w:r>
      <w:r>
        <w:rPr>
          <w:rFonts w:ascii="方正仿宋简体" w:eastAsia="方正仿宋简体" w:hint="eastAsia"/>
          <w:sz w:val="24"/>
          <w:szCs w:val="24"/>
        </w:rPr>
        <w:t>10</w:t>
      </w:r>
      <w:r>
        <w:rPr>
          <w:rFonts w:ascii="方正仿宋简体" w:eastAsia="方正仿宋简体" w:hint="eastAsia"/>
          <w:sz w:val="24"/>
          <w:szCs w:val="24"/>
        </w:rPr>
        <w:t>年国债到期收益率最大上行</w:t>
      </w:r>
      <w:r>
        <w:rPr>
          <w:rFonts w:ascii="方正仿宋简体" w:eastAsia="方正仿宋简体" w:hint="eastAsia"/>
          <w:sz w:val="24"/>
          <w:szCs w:val="24"/>
        </w:rPr>
        <w:t>30BP</w:t>
      </w:r>
      <w:r>
        <w:rPr>
          <w:rFonts w:ascii="方正仿宋简体" w:eastAsia="方正仿宋简体" w:hint="eastAsia"/>
          <w:sz w:val="24"/>
          <w:szCs w:val="24"/>
        </w:rPr>
        <w:t>左右。目前来看，后期央行延续流动性宽松的确定性较高，降准预期</w:t>
      </w:r>
      <w:r>
        <w:rPr>
          <w:rFonts w:ascii="方正仿宋简体" w:eastAsia="方正仿宋简体" w:hint="eastAsia"/>
          <w:sz w:val="24"/>
          <w:szCs w:val="24"/>
        </w:rPr>
        <w:lastRenderedPageBreak/>
        <w:t>有所升温，负债端扰动可能亦接近尾声，判断债市在</w:t>
      </w:r>
      <w:r>
        <w:rPr>
          <w:rFonts w:ascii="方正仿宋简体" w:eastAsia="方正仿宋简体" w:hint="eastAsia"/>
          <w:sz w:val="24"/>
          <w:szCs w:val="24"/>
        </w:rPr>
        <w:t>2</w:t>
      </w:r>
      <w:r>
        <w:rPr>
          <w:rFonts w:ascii="方正仿宋简体" w:eastAsia="方正仿宋简体" w:hint="eastAsia"/>
          <w:sz w:val="24"/>
          <w:szCs w:val="24"/>
        </w:rPr>
        <w:t>026</w:t>
      </w:r>
      <w:r>
        <w:rPr>
          <w:rFonts w:ascii="方正仿宋简体" w:eastAsia="方正仿宋简体" w:hint="eastAsia"/>
          <w:sz w:val="24"/>
          <w:szCs w:val="24"/>
        </w:rPr>
        <w:t>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r>
      <w:r>
        <w:rPr>
          <w:rFonts w:ascii="方正仿宋简体" w:eastAsia="方正仿宋简体" w:hint="eastAsia"/>
          <w:sz w:val="24"/>
          <w:szCs w:val="24"/>
        </w:rPr>
        <w:br w:type="textWrapping" w:clear="all"/>
      </w:r>
      <w:r>
        <w:rPr>
          <w:rFonts w:ascii="方正仿宋简体" w:eastAsia="方正仿宋简体" w:hint="eastAsia"/>
          <w:sz w:val="24"/>
          <w:szCs w:val="24"/>
        </w:rPr>
        <w:t>  权益方面，</w:t>
      </w:r>
      <w:r>
        <w:rPr>
          <w:rFonts w:ascii="方正仿宋简体" w:eastAsia="方正仿宋简体" w:hint="eastAsia"/>
          <w:sz w:val="24"/>
          <w:szCs w:val="24"/>
        </w:rPr>
        <w:t>2025</w:t>
      </w:r>
      <w:r>
        <w:rPr>
          <w:rFonts w:ascii="方正仿宋简体" w:eastAsia="方正仿宋简体" w:hint="eastAsia"/>
          <w:sz w:val="24"/>
          <w:szCs w:val="24"/>
        </w:rPr>
        <w:t>年</w:t>
      </w:r>
      <w:r>
        <w:rPr>
          <w:rFonts w:ascii="方正仿宋简体" w:eastAsia="方正仿宋简体" w:hint="eastAsia"/>
          <w:sz w:val="24"/>
          <w:szCs w:val="24"/>
        </w:rPr>
        <w:t>A/H</w:t>
      </w:r>
      <w:r>
        <w:rPr>
          <w:rFonts w:ascii="方正仿宋简体" w:eastAsia="方正仿宋简体" w:hint="eastAsia"/>
          <w:sz w:val="24"/>
          <w:szCs w:val="24"/>
        </w:rPr>
        <w:t>股在政策与流动性双重驱动下走出结构性牛市，资源与科技成为贯穿全年的上涨主线。美联储重启降息改善全球流动性，美元走弱提振大宗商品价格，同时</w:t>
      </w:r>
      <w:r>
        <w:rPr>
          <w:rFonts w:ascii="方正仿宋简体" w:eastAsia="方正仿宋简体" w:hint="eastAsia"/>
          <w:sz w:val="24"/>
          <w:szCs w:val="24"/>
        </w:rPr>
        <w:t>AI</w:t>
      </w:r>
      <w:r>
        <w:rPr>
          <w:rFonts w:ascii="方正仿宋简体" w:eastAsia="方正仿宋简体" w:hint="eastAsia"/>
          <w:sz w:val="24"/>
          <w:szCs w:val="24"/>
        </w:rPr>
        <w:t>商业化加速推动科技方向景气持续上行。展望</w:t>
      </w:r>
      <w:r>
        <w:rPr>
          <w:rFonts w:ascii="方正仿宋简体" w:eastAsia="方正仿宋简体" w:hint="eastAsia"/>
          <w:sz w:val="24"/>
          <w:szCs w:val="24"/>
        </w:rPr>
        <w:t>2026</w:t>
      </w:r>
      <w:r>
        <w:rPr>
          <w:rFonts w:ascii="方正仿宋简体" w:eastAsia="方正仿宋简体" w:hint="eastAsia"/>
          <w:sz w:val="24"/>
          <w:szCs w:val="24"/>
        </w:rPr>
        <w:t>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w:t>
      </w:r>
      <w:r>
        <w:rPr>
          <w:rFonts w:ascii="方正仿宋简体" w:eastAsia="方正仿宋简体" w:hint="eastAsia"/>
          <w:sz w:val="24"/>
          <w:szCs w:val="24"/>
        </w:rPr>
        <w:t>，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r>
      <w:r>
        <w:rPr>
          <w:rFonts w:ascii="方正仿宋简体" w:eastAsia="方正仿宋简体" w:hint="eastAsia"/>
          <w:sz w:val="24"/>
          <w:szCs w:val="24"/>
        </w:rPr>
        <w:br w:type="textWrapping" w:clear="all"/>
      </w:r>
      <w:r>
        <w:rPr>
          <w:rFonts w:ascii="方正仿宋简体" w:eastAsia="方正仿宋简体" w:hint="eastAsia"/>
          <w:sz w:val="24"/>
          <w:szCs w:val="24"/>
        </w:rPr>
        <w:t>  投资策略上，固收方面，维持信用债策略打底，并择机参与利率债波段的投资机会。权益方面，</w:t>
      </w:r>
      <w:r>
        <w:rPr>
          <w:rFonts w:ascii="方正仿宋简体" w:eastAsia="方正仿宋简体" w:hint="eastAsia"/>
          <w:sz w:val="24"/>
          <w:szCs w:val="24"/>
        </w:rPr>
        <w:t>2026</w:t>
      </w:r>
      <w:r>
        <w:rPr>
          <w:rFonts w:ascii="方正仿宋简体" w:eastAsia="方正仿宋简体" w:hint="eastAsia"/>
          <w:sz w:val="24"/>
          <w:szCs w:val="24"/>
        </w:rPr>
        <w:t>年一季度操作将维持积极，重点围绕科技、资源品和内需方向做布局，密切关注外围环境、国内经济情况、政策动向以及市场量能等，优选管理人</w:t>
      </w:r>
      <w:r>
        <w:rPr>
          <w:rFonts w:ascii="方正仿宋简体" w:eastAsia="方正仿宋简体" w:hint="eastAsia"/>
          <w:sz w:val="24"/>
          <w:szCs w:val="24"/>
        </w:rPr>
        <w:t>，追求合适收益率同时努力控制好净值的回撤。</w:t>
      </w:r>
    </w:p>
    <w:p w14:paraId="67823FB4" w14:textId="77777777" w:rsidR="00946EA2" w:rsidRDefault="00D56F9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14:paraId="0AD2DACC" w14:textId="77777777" w:rsidR="00946EA2" w:rsidRDefault="00D56F96">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产品持仓中维持合理比例高流动性资产，提前做好关键时点资金储备，流动性状况较好。</w:t>
      </w:r>
    </w:p>
    <w:p w14:paraId="562087FE" w14:textId="77777777" w:rsidR="00946EA2" w:rsidRDefault="00D56F9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 xml:space="preserve">3.3 </w:t>
      </w:r>
      <w:r>
        <w:rPr>
          <w:rFonts w:ascii="方正仿宋简体" w:eastAsia="方正仿宋简体" w:hint="eastAsia"/>
          <w:b/>
          <w:sz w:val="24"/>
          <w:szCs w:val="24"/>
        </w:rPr>
        <w:t>报告期内产品的业绩表现</w:t>
      </w:r>
    </w:p>
    <w:p w14:paraId="390E0AD8" w14:textId="77777777" w:rsidR="00946EA2" w:rsidRDefault="00D56F96">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Z99005</w:t>
      </w:r>
      <w:r>
        <w:rPr>
          <w:rFonts w:ascii="方正仿宋简体" w:eastAsia="方正仿宋简体" w:hint="eastAsia"/>
          <w:sz w:val="24"/>
          <w:szCs w:val="24"/>
        </w:rPr>
        <w:t>份额净值为</w:t>
      </w:r>
      <w:r>
        <w:rPr>
          <w:rFonts w:ascii="方正仿宋简体" w:eastAsia="方正仿宋简体" w:hint="eastAsia"/>
          <w:sz w:val="24"/>
          <w:szCs w:val="24"/>
        </w:rPr>
        <w:t>1.0791</w:t>
      </w:r>
      <w:r>
        <w:rPr>
          <w:rFonts w:ascii="方正仿宋简体" w:eastAsia="方正仿宋简体" w:hint="eastAsia"/>
          <w:sz w:val="24"/>
          <w:szCs w:val="24"/>
        </w:rPr>
        <w:t>元。</w:t>
      </w:r>
    </w:p>
    <w:p w14:paraId="6AC2C5B3" w14:textId="77777777" w:rsidR="00946EA2" w:rsidRDefault="00946EA2">
      <w:pPr>
        <w:spacing w:before="240" w:after="72" w:line="360" w:lineRule="auto"/>
        <w:rPr>
          <w:rFonts w:ascii="方正仿宋_GBK" w:eastAsia="方正仿宋_GBK" w:hAnsi="宋体"/>
          <w:sz w:val="24"/>
          <w:szCs w:val="24"/>
        </w:rPr>
      </w:pPr>
    </w:p>
    <w:p w14:paraId="4D275DEF" w14:textId="77777777" w:rsidR="00946EA2" w:rsidRDefault="00D56F9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14:paraId="7A4B87F7" w14:textId="77777777" w:rsidR="00946EA2" w:rsidRDefault="00D56F9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946EA2" w14:paraId="6D40054F"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3EAC0F62"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14:paraId="69D6F7CB"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14:paraId="76ED14BD"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14:paraId="00418961"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946EA2" w14:paraId="30AAA1DD"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4C1894F2"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14:paraId="6616E9B2"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14:paraId="18102D14"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49.60%</w:t>
            </w:r>
          </w:p>
        </w:tc>
        <w:tc>
          <w:tcPr>
            <w:tcW w:w="3289" w:type="dxa"/>
            <w:tcBorders>
              <w:top w:val="single" w:sz="4" w:space="0" w:color="auto"/>
              <w:left w:val="single" w:sz="4" w:space="0" w:color="auto"/>
              <w:bottom w:val="single" w:sz="4" w:space="0" w:color="auto"/>
              <w:right w:val="single" w:sz="4" w:space="0" w:color="auto"/>
            </w:tcBorders>
            <w:vAlign w:val="center"/>
          </w:tcPr>
          <w:p w14:paraId="3F9E22D2"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55.57%</w:t>
            </w:r>
          </w:p>
        </w:tc>
      </w:tr>
      <w:tr w:rsidR="00946EA2" w14:paraId="6279BD5F"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1D107161"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14:paraId="1ADA64C4"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14:paraId="47587477"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12.71%</w:t>
            </w:r>
          </w:p>
        </w:tc>
        <w:tc>
          <w:tcPr>
            <w:tcW w:w="3289" w:type="dxa"/>
            <w:tcBorders>
              <w:top w:val="single" w:sz="4" w:space="0" w:color="auto"/>
              <w:left w:val="single" w:sz="4" w:space="0" w:color="auto"/>
              <w:bottom w:val="single" w:sz="4" w:space="0" w:color="auto"/>
              <w:right w:val="single" w:sz="4" w:space="0" w:color="auto"/>
            </w:tcBorders>
            <w:vAlign w:val="center"/>
          </w:tcPr>
          <w:p w14:paraId="2778DB17"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23.05%</w:t>
            </w:r>
          </w:p>
        </w:tc>
      </w:tr>
      <w:tr w:rsidR="00946EA2" w14:paraId="126AFF6D"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7362D24E"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14:paraId="312AF0A6"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14:paraId="575EE2F3"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14:paraId="6E356B87"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0.00%</w:t>
            </w:r>
          </w:p>
        </w:tc>
      </w:tr>
      <w:tr w:rsidR="00946EA2" w14:paraId="2F3DAC10"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2DD5A2EF"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14:paraId="77D87659"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14:paraId="46413821"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37.69%</w:t>
            </w:r>
          </w:p>
        </w:tc>
        <w:tc>
          <w:tcPr>
            <w:tcW w:w="3289" w:type="dxa"/>
            <w:tcBorders>
              <w:top w:val="single" w:sz="4" w:space="0" w:color="auto"/>
              <w:left w:val="single" w:sz="4" w:space="0" w:color="auto"/>
              <w:bottom w:val="single" w:sz="4" w:space="0" w:color="auto"/>
              <w:right w:val="single" w:sz="4" w:space="0" w:color="auto"/>
            </w:tcBorders>
            <w:vAlign w:val="center"/>
          </w:tcPr>
          <w:p w14:paraId="4F13374F"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21.38%</w:t>
            </w:r>
          </w:p>
        </w:tc>
      </w:tr>
      <w:tr w:rsidR="00946EA2" w14:paraId="0004F01D"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6BFEBDE6"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14:paraId="26C80376"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14:paraId="623996B7"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14:paraId="5657C3F2"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100.00%</w:t>
            </w:r>
          </w:p>
        </w:tc>
      </w:tr>
    </w:tbl>
    <w:p w14:paraId="587C29CD" w14:textId="77777777" w:rsidR="00946EA2" w:rsidRDefault="00946EA2">
      <w:pPr>
        <w:spacing w:before="240" w:after="72" w:line="360" w:lineRule="auto"/>
        <w:rPr>
          <w:rFonts w:ascii="方正仿宋_GBK" w:eastAsia="方正仿宋_GBK"/>
          <w:sz w:val="24"/>
          <w:szCs w:val="24"/>
        </w:rPr>
      </w:pPr>
    </w:p>
    <w:p w14:paraId="2E5C9031" w14:textId="77777777" w:rsidR="00946EA2" w:rsidRDefault="00D56F9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946EA2" w14:paraId="012B3C09" w14:textId="77777777">
        <w:trPr>
          <w:trHeight w:val="1233"/>
          <w:jc w:val="center"/>
        </w:trPr>
        <w:tc>
          <w:tcPr>
            <w:tcW w:w="750" w:type="dxa"/>
            <w:vAlign w:val="center"/>
          </w:tcPr>
          <w:p w14:paraId="30146CA9"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14:paraId="1A996677"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14:paraId="09FC9942"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14:paraId="3A902B08"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14:paraId="47CF9245"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946EA2" w14:paraId="158FCA86" w14:textId="7777777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14:paraId="72AAC603"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1" w:type="dxa"/>
            <w:shd w:val="clear" w:color="auto" w:fill="auto"/>
            <w:vAlign w:val="center"/>
          </w:tcPr>
          <w:p w14:paraId="1C7B4965"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HHQTT202304260001</w:t>
            </w:r>
          </w:p>
        </w:tc>
        <w:tc>
          <w:tcPr>
            <w:tcW w:w="2712" w:type="dxa"/>
            <w:shd w:val="clear" w:color="000000" w:fill="FFFFFF"/>
            <w:vAlign w:val="center"/>
          </w:tcPr>
          <w:p w14:paraId="40BB60B6"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中信期货宁稳</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号集合资产管理计划</w:t>
            </w:r>
          </w:p>
        </w:tc>
        <w:tc>
          <w:tcPr>
            <w:tcW w:w="2052" w:type="dxa"/>
            <w:shd w:val="clear" w:color="000000" w:fill="FFFFFF"/>
            <w:vAlign w:val="center"/>
          </w:tcPr>
          <w:p w14:paraId="6F7A08B8"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55,888,871.51</w:t>
            </w:r>
          </w:p>
        </w:tc>
        <w:tc>
          <w:tcPr>
            <w:tcW w:w="1807" w:type="dxa"/>
            <w:shd w:val="clear" w:color="000000" w:fill="FFFFFF"/>
            <w:vAlign w:val="center"/>
          </w:tcPr>
          <w:p w14:paraId="37AD7C8C"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14.21</w:t>
            </w:r>
          </w:p>
        </w:tc>
      </w:tr>
      <w:tr w:rsidR="00946EA2" w14:paraId="3E751BE1" w14:textId="7777777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14:paraId="48592AFB"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1" w:type="dxa"/>
            <w:shd w:val="clear" w:color="auto" w:fill="auto"/>
            <w:vAlign w:val="center"/>
          </w:tcPr>
          <w:p w14:paraId="1FD2B0C8"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ZZGJT202007060001</w:t>
            </w:r>
          </w:p>
        </w:tc>
        <w:tc>
          <w:tcPr>
            <w:tcW w:w="2712" w:type="dxa"/>
            <w:shd w:val="clear" w:color="000000" w:fill="FFFFFF"/>
            <w:vAlign w:val="center"/>
          </w:tcPr>
          <w:p w14:paraId="70D4BB13"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鑫沅资产金梅花</w:t>
            </w:r>
            <w:r>
              <w:rPr>
                <w:rFonts w:ascii="方正仿宋简体" w:eastAsia="方正仿宋简体" w:hAnsi="方正仿宋简体" w:cs="方正仿宋简体"/>
                <w:sz w:val="24"/>
              </w:rPr>
              <w:t>141</w:t>
            </w:r>
            <w:r>
              <w:rPr>
                <w:rFonts w:ascii="方正仿宋简体" w:eastAsia="方正仿宋简体" w:hAnsi="方正仿宋简体" w:cs="方正仿宋简体"/>
                <w:sz w:val="24"/>
              </w:rPr>
              <w:t>号集合资产管理计划</w:t>
            </w:r>
          </w:p>
        </w:tc>
        <w:tc>
          <w:tcPr>
            <w:tcW w:w="2052" w:type="dxa"/>
            <w:shd w:val="clear" w:color="000000" w:fill="FFFFFF"/>
            <w:vAlign w:val="center"/>
          </w:tcPr>
          <w:p w14:paraId="2C19C09D"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46,897,880.09</w:t>
            </w:r>
          </w:p>
        </w:tc>
        <w:tc>
          <w:tcPr>
            <w:tcW w:w="1807" w:type="dxa"/>
            <w:shd w:val="clear" w:color="000000" w:fill="FFFFFF"/>
            <w:vAlign w:val="center"/>
          </w:tcPr>
          <w:p w14:paraId="72FF127C"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11.93</w:t>
            </w:r>
          </w:p>
        </w:tc>
      </w:tr>
      <w:tr w:rsidR="00946EA2" w14:paraId="190DD45C" w14:textId="7777777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14:paraId="2DBB51E5"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1" w:type="dxa"/>
            <w:shd w:val="clear" w:color="auto" w:fill="auto"/>
            <w:vAlign w:val="center"/>
          </w:tcPr>
          <w:p w14:paraId="064178CA"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017992</w:t>
            </w:r>
          </w:p>
        </w:tc>
        <w:tc>
          <w:tcPr>
            <w:tcW w:w="2712" w:type="dxa"/>
            <w:shd w:val="clear" w:color="000000" w:fill="FFFFFF"/>
            <w:vAlign w:val="center"/>
          </w:tcPr>
          <w:p w14:paraId="18C39282"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华泰柏瑞致远混合</w:t>
            </w:r>
            <w:r>
              <w:rPr>
                <w:rFonts w:ascii="方正仿宋简体" w:eastAsia="方正仿宋简体" w:hAnsi="方正仿宋简体" w:cs="方正仿宋简体"/>
                <w:sz w:val="24"/>
              </w:rPr>
              <w:t>C</w:t>
            </w:r>
          </w:p>
        </w:tc>
        <w:tc>
          <w:tcPr>
            <w:tcW w:w="2052" w:type="dxa"/>
            <w:shd w:val="clear" w:color="000000" w:fill="FFFFFF"/>
            <w:vAlign w:val="center"/>
          </w:tcPr>
          <w:p w14:paraId="21D856C0"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29,385,420.88</w:t>
            </w:r>
          </w:p>
        </w:tc>
        <w:tc>
          <w:tcPr>
            <w:tcW w:w="1807" w:type="dxa"/>
            <w:shd w:val="clear" w:color="000000" w:fill="FFFFFF"/>
            <w:vAlign w:val="center"/>
          </w:tcPr>
          <w:p w14:paraId="0384CF35"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7.47</w:t>
            </w:r>
          </w:p>
        </w:tc>
      </w:tr>
      <w:tr w:rsidR="00946EA2" w14:paraId="413CAC73" w14:textId="7777777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14:paraId="4298986D"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1" w:type="dxa"/>
            <w:shd w:val="clear" w:color="auto" w:fill="auto"/>
            <w:vAlign w:val="center"/>
          </w:tcPr>
          <w:p w14:paraId="731C609E"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002065</w:t>
            </w:r>
          </w:p>
        </w:tc>
        <w:tc>
          <w:tcPr>
            <w:tcW w:w="2712" w:type="dxa"/>
            <w:shd w:val="clear" w:color="000000" w:fill="FFFFFF"/>
            <w:vAlign w:val="center"/>
          </w:tcPr>
          <w:p w14:paraId="22B37121"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景顺长城景盛双息收益债券</w:t>
            </w:r>
            <w:r>
              <w:rPr>
                <w:rFonts w:ascii="方正仿宋简体" w:eastAsia="方正仿宋简体" w:hAnsi="方正仿宋简体" w:cs="方正仿宋简体"/>
                <w:sz w:val="24"/>
              </w:rPr>
              <w:t>A</w:t>
            </w:r>
          </w:p>
        </w:tc>
        <w:tc>
          <w:tcPr>
            <w:tcW w:w="2052" w:type="dxa"/>
            <w:shd w:val="clear" w:color="000000" w:fill="FFFFFF"/>
            <w:vAlign w:val="center"/>
          </w:tcPr>
          <w:p w14:paraId="5907CFD6"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26,760,670.25</w:t>
            </w:r>
          </w:p>
        </w:tc>
        <w:tc>
          <w:tcPr>
            <w:tcW w:w="1807" w:type="dxa"/>
            <w:shd w:val="clear" w:color="000000" w:fill="FFFFFF"/>
            <w:vAlign w:val="center"/>
          </w:tcPr>
          <w:p w14:paraId="1BBD1E36"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6.81</w:t>
            </w:r>
          </w:p>
        </w:tc>
      </w:tr>
      <w:tr w:rsidR="00946EA2" w14:paraId="2D154A04" w14:textId="7777777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14:paraId="4FB07F68"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5</w:t>
            </w:r>
          </w:p>
        </w:tc>
        <w:tc>
          <w:tcPr>
            <w:tcW w:w="1581" w:type="dxa"/>
            <w:shd w:val="clear" w:color="auto" w:fill="auto"/>
            <w:vAlign w:val="center"/>
          </w:tcPr>
          <w:p w14:paraId="4114AB7F"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023512</w:t>
            </w:r>
          </w:p>
        </w:tc>
        <w:tc>
          <w:tcPr>
            <w:tcW w:w="2712" w:type="dxa"/>
            <w:shd w:val="clear" w:color="000000" w:fill="FFFFFF"/>
            <w:vAlign w:val="center"/>
          </w:tcPr>
          <w:p w14:paraId="5104047F"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景顺长城景颐丰利债券</w:t>
            </w:r>
            <w:r>
              <w:rPr>
                <w:rFonts w:ascii="方正仿宋简体" w:eastAsia="方正仿宋简体" w:hAnsi="方正仿宋简体" w:cs="方正仿宋简体"/>
                <w:sz w:val="24"/>
              </w:rPr>
              <w:t>F</w:t>
            </w:r>
            <w:r>
              <w:rPr>
                <w:rFonts w:ascii="方正仿宋简体" w:eastAsia="方正仿宋简体" w:hAnsi="方正仿宋简体" w:cs="方正仿宋简体"/>
                <w:sz w:val="24"/>
              </w:rPr>
              <w:t>类</w:t>
            </w:r>
          </w:p>
        </w:tc>
        <w:tc>
          <w:tcPr>
            <w:tcW w:w="2052" w:type="dxa"/>
            <w:shd w:val="clear" w:color="000000" w:fill="FFFFFF"/>
            <w:vAlign w:val="center"/>
          </w:tcPr>
          <w:p w14:paraId="222D626A"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14,126,057.26</w:t>
            </w:r>
          </w:p>
        </w:tc>
        <w:tc>
          <w:tcPr>
            <w:tcW w:w="1807" w:type="dxa"/>
            <w:shd w:val="clear" w:color="000000" w:fill="FFFFFF"/>
            <w:vAlign w:val="center"/>
          </w:tcPr>
          <w:p w14:paraId="42255406"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3.59</w:t>
            </w:r>
          </w:p>
        </w:tc>
      </w:tr>
      <w:tr w:rsidR="00946EA2" w14:paraId="233FC918" w14:textId="7777777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14:paraId="24C53B25"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1" w:type="dxa"/>
            <w:shd w:val="clear" w:color="auto" w:fill="auto"/>
            <w:vAlign w:val="center"/>
          </w:tcPr>
          <w:p w14:paraId="3D7ABD0E"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006551</w:t>
            </w:r>
          </w:p>
        </w:tc>
        <w:tc>
          <w:tcPr>
            <w:tcW w:w="2712" w:type="dxa"/>
            <w:shd w:val="clear" w:color="000000" w:fill="FFFFFF"/>
            <w:vAlign w:val="center"/>
          </w:tcPr>
          <w:p w14:paraId="28B387EC"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中庚价值领航混合</w:t>
            </w:r>
          </w:p>
        </w:tc>
        <w:tc>
          <w:tcPr>
            <w:tcW w:w="2052" w:type="dxa"/>
            <w:shd w:val="clear" w:color="000000" w:fill="FFFFFF"/>
            <w:vAlign w:val="center"/>
          </w:tcPr>
          <w:p w14:paraId="0A72274E"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12,744,616.52</w:t>
            </w:r>
          </w:p>
        </w:tc>
        <w:tc>
          <w:tcPr>
            <w:tcW w:w="1807" w:type="dxa"/>
            <w:shd w:val="clear" w:color="000000" w:fill="FFFFFF"/>
            <w:vAlign w:val="center"/>
          </w:tcPr>
          <w:p w14:paraId="585A8226"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3.24</w:t>
            </w:r>
          </w:p>
        </w:tc>
      </w:tr>
      <w:tr w:rsidR="00946EA2" w14:paraId="3616EC77" w14:textId="7777777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14:paraId="611256AA"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14:paraId="17939366"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001069</w:t>
            </w:r>
          </w:p>
        </w:tc>
        <w:tc>
          <w:tcPr>
            <w:tcW w:w="2712" w:type="dxa"/>
            <w:shd w:val="clear" w:color="000000" w:fill="FFFFFF"/>
            <w:vAlign w:val="center"/>
          </w:tcPr>
          <w:p w14:paraId="138A6927"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华泰柏瑞消费成长混合</w:t>
            </w:r>
          </w:p>
        </w:tc>
        <w:tc>
          <w:tcPr>
            <w:tcW w:w="2052" w:type="dxa"/>
            <w:shd w:val="clear" w:color="000000" w:fill="FFFFFF"/>
            <w:vAlign w:val="center"/>
          </w:tcPr>
          <w:p w14:paraId="3FF0C061"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12,517,535.48</w:t>
            </w:r>
          </w:p>
        </w:tc>
        <w:tc>
          <w:tcPr>
            <w:tcW w:w="1807" w:type="dxa"/>
            <w:shd w:val="clear" w:color="000000" w:fill="FFFFFF"/>
            <w:vAlign w:val="center"/>
          </w:tcPr>
          <w:p w14:paraId="12112075"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3.18</w:t>
            </w:r>
          </w:p>
        </w:tc>
      </w:tr>
      <w:tr w:rsidR="00946EA2" w14:paraId="1A0695BE" w14:textId="7777777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14:paraId="287A6168"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581" w:type="dxa"/>
            <w:shd w:val="clear" w:color="auto" w:fill="auto"/>
            <w:vAlign w:val="center"/>
          </w:tcPr>
          <w:p w14:paraId="79F793E4"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518880</w:t>
            </w:r>
          </w:p>
        </w:tc>
        <w:tc>
          <w:tcPr>
            <w:tcW w:w="2712" w:type="dxa"/>
            <w:shd w:val="clear" w:color="000000" w:fill="FFFFFF"/>
            <w:vAlign w:val="center"/>
          </w:tcPr>
          <w:p w14:paraId="29F18C1D"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黄金</w:t>
            </w:r>
            <w:r>
              <w:rPr>
                <w:rFonts w:ascii="方正仿宋简体" w:eastAsia="方正仿宋简体" w:hAnsi="方正仿宋简体" w:cs="方正仿宋简体"/>
                <w:sz w:val="24"/>
              </w:rPr>
              <w:t>ETF</w:t>
            </w:r>
          </w:p>
        </w:tc>
        <w:tc>
          <w:tcPr>
            <w:tcW w:w="2052" w:type="dxa"/>
            <w:shd w:val="clear" w:color="000000" w:fill="FFFFFF"/>
            <w:vAlign w:val="center"/>
          </w:tcPr>
          <w:p w14:paraId="3298F8CC"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12,184,310.00</w:t>
            </w:r>
          </w:p>
        </w:tc>
        <w:tc>
          <w:tcPr>
            <w:tcW w:w="1807" w:type="dxa"/>
            <w:shd w:val="clear" w:color="000000" w:fill="FFFFFF"/>
            <w:vAlign w:val="center"/>
          </w:tcPr>
          <w:p w14:paraId="318D6FCB"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3.10</w:t>
            </w:r>
          </w:p>
        </w:tc>
      </w:tr>
      <w:tr w:rsidR="00946EA2" w14:paraId="1B4B4907" w14:textId="7777777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14:paraId="09AB4915"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14:paraId="0B1F60CE"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513180</w:t>
            </w:r>
          </w:p>
        </w:tc>
        <w:tc>
          <w:tcPr>
            <w:tcW w:w="2712" w:type="dxa"/>
            <w:shd w:val="clear" w:color="000000" w:fill="FFFFFF"/>
            <w:vAlign w:val="center"/>
          </w:tcPr>
          <w:p w14:paraId="4DD17ED3"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恒指科技</w:t>
            </w:r>
          </w:p>
        </w:tc>
        <w:tc>
          <w:tcPr>
            <w:tcW w:w="2052" w:type="dxa"/>
            <w:shd w:val="clear" w:color="000000" w:fill="FFFFFF"/>
            <w:vAlign w:val="center"/>
          </w:tcPr>
          <w:p w14:paraId="78FB4322"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11,712,000.00</w:t>
            </w:r>
          </w:p>
        </w:tc>
        <w:tc>
          <w:tcPr>
            <w:tcW w:w="1807" w:type="dxa"/>
            <w:shd w:val="clear" w:color="000000" w:fill="FFFFFF"/>
            <w:vAlign w:val="center"/>
          </w:tcPr>
          <w:p w14:paraId="5A4B716D"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2.98</w:t>
            </w:r>
          </w:p>
        </w:tc>
      </w:tr>
      <w:tr w:rsidR="00946EA2" w14:paraId="63150921" w14:textId="77777777">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14:paraId="323D50A2"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1" w:type="dxa"/>
            <w:shd w:val="clear" w:color="auto" w:fill="auto"/>
            <w:vAlign w:val="center"/>
          </w:tcPr>
          <w:p w14:paraId="754B2E71"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002797</w:t>
            </w:r>
          </w:p>
        </w:tc>
        <w:tc>
          <w:tcPr>
            <w:tcW w:w="2712" w:type="dxa"/>
            <w:shd w:val="clear" w:color="000000" w:fill="FFFFFF"/>
            <w:vAlign w:val="center"/>
          </w:tcPr>
          <w:p w14:paraId="60418BDA"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景顺长城景盈双利债券</w:t>
            </w:r>
            <w:r>
              <w:rPr>
                <w:rFonts w:ascii="方正仿宋简体" w:eastAsia="方正仿宋简体" w:hAnsi="方正仿宋简体" w:cs="方正仿宋简体"/>
                <w:sz w:val="24"/>
              </w:rPr>
              <w:t>C</w:t>
            </w:r>
          </w:p>
        </w:tc>
        <w:tc>
          <w:tcPr>
            <w:tcW w:w="2052" w:type="dxa"/>
            <w:shd w:val="clear" w:color="000000" w:fill="FFFFFF"/>
            <w:vAlign w:val="center"/>
          </w:tcPr>
          <w:p w14:paraId="4D9F0C20"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10,010,801.82</w:t>
            </w:r>
          </w:p>
        </w:tc>
        <w:tc>
          <w:tcPr>
            <w:tcW w:w="1807" w:type="dxa"/>
            <w:shd w:val="clear" w:color="000000" w:fill="FFFFFF"/>
            <w:vAlign w:val="center"/>
          </w:tcPr>
          <w:p w14:paraId="69A110F9"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2.55</w:t>
            </w:r>
          </w:p>
        </w:tc>
      </w:tr>
    </w:tbl>
    <w:p w14:paraId="390C2DAD" w14:textId="77777777" w:rsidR="00946EA2" w:rsidRDefault="00946EA2">
      <w:pPr>
        <w:spacing w:before="240" w:after="72" w:line="360" w:lineRule="auto"/>
        <w:rPr>
          <w:rFonts w:ascii="方正仿宋_GBK" w:eastAsia="方正仿宋_GBK" w:hAnsi="宋体" w:cs="宋体"/>
          <w:sz w:val="24"/>
          <w:szCs w:val="24"/>
          <w:shd w:val="clear" w:color="auto" w:fill="FFFFFF"/>
        </w:rPr>
      </w:pPr>
    </w:p>
    <w:p w14:paraId="234114E6" w14:textId="77777777" w:rsidR="00946EA2" w:rsidRDefault="00D56F96">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1671"/>
        <w:gridCol w:w="1252"/>
        <w:gridCol w:w="1511"/>
        <w:gridCol w:w="1357"/>
        <w:gridCol w:w="1248"/>
        <w:gridCol w:w="1000"/>
      </w:tblGrid>
      <w:tr w:rsidR="00946EA2" w14:paraId="2CAAEF3A" w14:textId="77777777">
        <w:trPr>
          <w:trHeight w:val="1078"/>
          <w:jc w:val="center"/>
        </w:trPr>
        <w:tc>
          <w:tcPr>
            <w:tcW w:w="863" w:type="dxa"/>
            <w:vAlign w:val="center"/>
          </w:tcPr>
          <w:p w14:paraId="12CB873C"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14:paraId="250FCDCF"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14:paraId="6A573CD6"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14:paraId="2FC5D840"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14:paraId="5405E86A"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14:paraId="01B20A32"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14:paraId="263DD1EB"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风险状况</w:t>
            </w:r>
          </w:p>
        </w:tc>
      </w:tr>
      <w:tr w:rsidR="00946EA2" w14:paraId="32110C37" w14:textId="77777777">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14:paraId="34A86028"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671" w:type="dxa"/>
            <w:vAlign w:val="center"/>
          </w:tcPr>
          <w:p w14:paraId="3A7DC170"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52" w:type="dxa"/>
            <w:vAlign w:val="center"/>
          </w:tcPr>
          <w:p w14:paraId="0572B68A"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511" w:type="dxa"/>
            <w:vAlign w:val="center"/>
          </w:tcPr>
          <w:p w14:paraId="1CD17F3D"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357" w:type="dxa"/>
            <w:vAlign w:val="center"/>
          </w:tcPr>
          <w:p w14:paraId="2C0AF5FE"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48" w:type="dxa"/>
            <w:vAlign w:val="center"/>
          </w:tcPr>
          <w:p w14:paraId="3B8BD8E8"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000" w:type="dxa"/>
            <w:vAlign w:val="center"/>
          </w:tcPr>
          <w:p w14:paraId="7F0D08A1"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14:paraId="530E5A0B" w14:textId="77777777" w:rsidR="00946EA2" w:rsidRDefault="00946EA2">
      <w:pPr>
        <w:spacing w:before="240" w:after="72" w:line="360" w:lineRule="auto"/>
        <w:rPr>
          <w:rFonts w:ascii="方正仿宋_GBK" w:eastAsia="方正仿宋_GBK" w:hAnsi="宋体" w:cs="宋体"/>
          <w:sz w:val="24"/>
          <w:szCs w:val="24"/>
          <w:shd w:val="clear" w:color="auto" w:fill="FFFFFF"/>
        </w:rPr>
      </w:pPr>
    </w:p>
    <w:p w14:paraId="68A13D72" w14:textId="77777777" w:rsidR="00946EA2" w:rsidRDefault="00D56F9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567"/>
        <w:gridCol w:w="2668"/>
        <w:gridCol w:w="1983"/>
        <w:gridCol w:w="1988"/>
      </w:tblGrid>
      <w:tr w:rsidR="00946EA2" w14:paraId="4DD2DDD3" w14:textId="77777777">
        <w:trPr>
          <w:trHeight w:val="584"/>
          <w:jc w:val="center"/>
        </w:trPr>
        <w:tc>
          <w:tcPr>
            <w:tcW w:w="696" w:type="dxa"/>
            <w:vAlign w:val="center"/>
          </w:tcPr>
          <w:p w14:paraId="0CBF3C5F"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14:paraId="1F7BC8F4"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14:paraId="6AD8F435"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14:paraId="201D7E9B"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14:paraId="268EC2C6" w14:textId="77777777" w:rsidR="00946EA2" w:rsidRDefault="00D56F96">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开户单位</w:t>
            </w:r>
          </w:p>
        </w:tc>
      </w:tr>
      <w:tr w:rsidR="00946EA2" w14:paraId="46DF0C84" w14:textId="77777777">
        <w:tblPrEx>
          <w:tblBorders>
            <w:top w:val="single" w:sz="1" w:space="0" w:color="000000"/>
            <w:left w:val="single" w:sz="1" w:space="0" w:color="000000"/>
            <w:bottom w:val="single" w:sz="1" w:space="0" w:color="000000"/>
            <w:right w:val="single" w:sz="1" w:space="0" w:color="000000"/>
          </w:tblBorders>
        </w:tblPrEx>
        <w:trPr>
          <w:trHeight w:val="584"/>
          <w:jc w:val="center"/>
        </w:trPr>
        <w:tc>
          <w:tcPr>
            <w:tcW w:w="696" w:type="dxa"/>
            <w:vAlign w:val="center"/>
          </w:tcPr>
          <w:p w14:paraId="2D94D4D3"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67" w:type="dxa"/>
            <w:vAlign w:val="center"/>
          </w:tcPr>
          <w:p w14:paraId="41B56F14"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14:paraId="68733698"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0120060000000815</w:t>
            </w:r>
          </w:p>
        </w:tc>
        <w:tc>
          <w:tcPr>
            <w:tcW w:w="1983" w:type="dxa"/>
            <w:vAlign w:val="center"/>
          </w:tcPr>
          <w:p w14:paraId="27024760"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南银理财致远平衡数字中国主题最低持有</w:t>
            </w:r>
            <w:r>
              <w:rPr>
                <w:rFonts w:ascii="方正仿宋简体" w:eastAsia="方正仿宋简体" w:hAnsi="方正仿宋简体" w:cs="方正仿宋简体"/>
                <w:sz w:val="24"/>
              </w:rPr>
              <w:t>15</w:t>
            </w:r>
            <w:r>
              <w:rPr>
                <w:rFonts w:ascii="方正仿宋简体" w:eastAsia="方正仿宋简体" w:hAnsi="方正仿宋简体" w:cs="方正仿宋简体"/>
                <w:sz w:val="24"/>
              </w:rPr>
              <w:t>个月</w:t>
            </w:r>
          </w:p>
        </w:tc>
        <w:tc>
          <w:tcPr>
            <w:tcW w:w="1988" w:type="dxa"/>
            <w:vAlign w:val="center"/>
          </w:tcPr>
          <w:p w14:paraId="1D7905C5" w14:textId="77777777" w:rsidR="00946EA2" w:rsidRDefault="00D56F96">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14:paraId="75EFF566" w14:textId="77777777" w:rsidR="00946EA2" w:rsidRDefault="00946EA2">
      <w:pPr>
        <w:spacing w:before="240" w:after="72" w:line="360" w:lineRule="auto"/>
        <w:rPr>
          <w:rFonts w:ascii="方正仿宋_GBK" w:eastAsia="方正仿宋_GBK"/>
          <w:sz w:val="24"/>
          <w:szCs w:val="24"/>
        </w:rPr>
      </w:pPr>
    </w:p>
    <w:p w14:paraId="11A634E8" w14:textId="77777777" w:rsidR="00946EA2" w:rsidRDefault="00D56F9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14:paraId="30485CA8" w14:textId="77777777" w:rsidR="00946EA2" w:rsidRDefault="00D56F96">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14:paraId="63177198" w14:textId="77777777" w:rsidR="00946EA2" w:rsidRDefault="00D56F96">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lastRenderedPageBreak/>
        <w:t>产品投资于关联方作为融资人的非标准化债权类资产业务交易金额</w:t>
      </w:r>
      <w:r>
        <w:rPr>
          <w:rFonts w:ascii="方正仿宋简体" w:eastAsia="方正仿宋简体" w:hint="eastAsia"/>
          <w:sz w:val="24"/>
          <w:szCs w:val="24"/>
        </w:rPr>
        <w:t>0.00</w:t>
      </w:r>
      <w:r>
        <w:rPr>
          <w:rFonts w:ascii="方正仿宋简体" w:eastAsia="方正仿宋简体" w:hint="eastAsia"/>
          <w:sz w:val="24"/>
          <w:szCs w:val="24"/>
        </w:rPr>
        <w:t>元。</w:t>
      </w:r>
    </w:p>
    <w:p w14:paraId="156DC8E3" w14:textId="77777777" w:rsidR="00946EA2" w:rsidRDefault="00D56F96">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产品投资于关联方承销的证券交易金额</w:t>
      </w:r>
      <w:r>
        <w:rPr>
          <w:rFonts w:ascii="方正仿宋简体" w:eastAsia="方正仿宋简体" w:hint="eastAsia"/>
          <w:sz w:val="24"/>
          <w:szCs w:val="24"/>
        </w:rPr>
        <w:t>0.00</w:t>
      </w:r>
      <w:r>
        <w:rPr>
          <w:rFonts w:ascii="方正仿宋简体" w:eastAsia="方正仿宋简体" w:hint="eastAsia"/>
          <w:sz w:val="24"/>
          <w:szCs w:val="24"/>
        </w:rPr>
        <w:t>元。</w:t>
      </w:r>
    </w:p>
    <w:p w14:paraId="2FC058D3" w14:textId="77777777" w:rsidR="00946EA2" w:rsidRDefault="00D56F96">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w:t>
      </w:r>
      <w:r>
        <w:rPr>
          <w:rFonts w:ascii="方正仿宋简体" w:eastAsia="方正仿宋简体" w:hint="eastAsia"/>
          <w:sz w:val="24"/>
          <w:szCs w:val="24"/>
        </w:rPr>
        <w:t>0.00</w:t>
      </w:r>
      <w:r>
        <w:rPr>
          <w:rFonts w:ascii="方正仿宋简体" w:eastAsia="方正仿宋简体" w:hint="eastAsia"/>
          <w:sz w:val="24"/>
          <w:szCs w:val="24"/>
        </w:rPr>
        <w:t>元。</w:t>
      </w:r>
    </w:p>
    <w:p w14:paraId="011C5E83" w14:textId="77777777" w:rsidR="00946EA2" w:rsidRDefault="00D56F96">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w:t>
      </w:r>
      <w:r>
        <w:rPr>
          <w:rFonts w:ascii="方正仿宋简体" w:eastAsia="方正仿宋简体" w:hint="eastAsia"/>
          <w:sz w:val="24"/>
          <w:szCs w:val="24"/>
        </w:rPr>
        <w:t>0.00</w:t>
      </w:r>
      <w:r>
        <w:rPr>
          <w:rFonts w:ascii="方正仿宋简体" w:eastAsia="方正仿宋简体" w:hint="eastAsia"/>
          <w:sz w:val="24"/>
          <w:szCs w:val="24"/>
        </w:rPr>
        <w:t>元。</w:t>
      </w:r>
    </w:p>
    <w:p w14:paraId="3862827C" w14:textId="77777777" w:rsidR="00946EA2" w:rsidRDefault="00D56F96">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产品支付关联方托管费</w:t>
      </w:r>
      <w:r>
        <w:rPr>
          <w:rFonts w:ascii="方正仿宋简体" w:eastAsia="方正仿宋简体" w:hint="eastAsia"/>
          <w:sz w:val="24"/>
          <w:szCs w:val="24"/>
        </w:rPr>
        <w:t>18,938.18</w:t>
      </w:r>
      <w:r>
        <w:rPr>
          <w:rFonts w:ascii="方正仿宋简体" w:eastAsia="方正仿宋简体" w:hint="eastAsia"/>
          <w:sz w:val="24"/>
          <w:szCs w:val="24"/>
        </w:rPr>
        <w:t>元，支付关联方代销费</w:t>
      </w:r>
      <w:r>
        <w:rPr>
          <w:rFonts w:ascii="方正仿宋简体" w:eastAsia="方正仿宋简体" w:hint="eastAsia"/>
          <w:sz w:val="24"/>
          <w:szCs w:val="24"/>
        </w:rPr>
        <w:t>321,578.38</w:t>
      </w:r>
      <w:r>
        <w:rPr>
          <w:rFonts w:ascii="方正仿宋简体" w:eastAsia="方正仿宋简体" w:hint="eastAsia"/>
          <w:sz w:val="24"/>
          <w:szCs w:val="24"/>
        </w:rPr>
        <w:t>元。</w:t>
      </w:r>
    </w:p>
    <w:p w14:paraId="3634A00C" w14:textId="77777777" w:rsidR="00946EA2" w:rsidRDefault="00D56F96">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产品发生其他关联交易金额</w:t>
      </w:r>
      <w:r>
        <w:rPr>
          <w:rFonts w:ascii="方正仿宋简体" w:eastAsia="方正仿宋简体" w:hint="eastAsia"/>
          <w:sz w:val="24"/>
          <w:szCs w:val="24"/>
        </w:rPr>
        <w:t>0.00</w:t>
      </w:r>
      <w:r>
        <w:rPr>
          <w:rFonts w:ascii="方正仿宋简体" w:eastAsia="方正仿宋简体" w:hint="eastAsia"/>
          <w:sz w:val="24"/>
          <w:szCs w:val="24"/>
        </w:rPr>
        <w:t>元。</w:t>
      </w:r>
    </w:p>
    <w:p w14:paraId="1BECB8DD" w14:textId="77777777" w:rsidR="00946EA2" w:rsidRDefault="00D56F96">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报告期内，产品未发生重大关联交易。</w:t>
      </w:r>
    </w:p>
    <w:p w14:paraId="637CBB38" w14:textId="77777777" w:rsidR="00946EA2" w:rsidRDefault="00946EA2">
      <w:pPr>
        <w:spacing w:before="240" w:after="72" w:line="360" w:lineRule="auto"/>
        <w:rPr>
          <w:rFonts w:ascii="方正仿宋_GBK" w:eastAsia="方正仿宋_GBK"/>
          <w:sz w:val="24"/>
          <w:szCs w:val="24"/>
        </w:rPr>
      </w:pPr>
    </w:p>
    <w:p w14:paraId="43273161" w14:textId="77777777" w:rsidR="00946EA2" w:rsidRDefault="00946EA2">
      <w:pPr>
        <w:spacing w:before="240" w:after="72" w:line="360" w:lineRule="auto"/>
        <w:rPr>
          <w:rFonts w:ascii="方正仿宋_GBK" w:eastAsia="方正仿宋_GBK" w:hAnsi="宋体" w:cs="宋体"/>
          <w:kern w:val="0"/>
          <w:sz w:val="24"/>
          <w:szCs w:val="24"/>
        </w:rPr>
      </w:pPr>
    </w:p>
    <w:p w14:paraId="519E2E81" w14:textId="77777777" w:rsidR="00946EA2" w:rsidRDefault="00946EA2">
      <w:pPr>
        <w:spacing w:before="240" w:after="72" w:line="360" w:lineRule="auto"/>
        <w:rPr>
          <w:rFonts w:ascii="方正仿宋_GBK" w:eastAsia="方正仿宋_GBK" w:hAnsi="宋体" w:cs="宋体"/>
          <w:kern w:val="0"/>
          <w:sz w:val="24"/>
          <w:szCs w:val="24"/>
        </w:rPr>
      </w:pPr>
    </w:p>
    <w:p w14:paraId="3C6AE3A7" w14:textId="77777777" w:rsidR="00946EA2" w:rsidRDefault="00946EA2">
      <w:pPr>
        <w:spacing w:before="240" w:after="72" w:line="360" w:lineRule="auto"/>
        <w:jc w:val="right"/>
        <w:rPr>
          <w:rFonts w:ascii="方正仿宋_GBK" w:eastAsia="方正仿宋_GBK"/>
          <w:b/>
          <w:sz w:val="24"/>
          <w:szCs w:val="24"/>
        </w:rPr>
      </w:pPr>
    </w:p>
    <w:p w14:paraId="6BAC60DF" w14:textId="77777777" w:rsidR="00946EA2" w:rsidRDefault="00D56F96">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14:paraId="4F0D37BB" w14:textId="77777777" w:rsidR="00946EA2" w:rsidRDefault="00D56F96">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2025</w:t>
      </w:r>
      <w:r>
        <w:rPr>
          <w:rFonts w:ascii="方正仿宋简体" w:eastAsia="方正仿宋简体" w:hint="eastAsia"/>
          <w:b/>
          <w:sz w:val="24"/>
          <w:szCs w:val="24"/>
        </w:rPr>
        <w:t>年</w:t>
      </w:r>
      <w:r>
        <w:rPr>
          <w:rFonts w:ascii="方正仿宋简体" w:eastAsia="方正仿宋简体" w:hint="eastAsia"/>
          <w:b/>
          <w:sz w:val="24"/>
          <w:szCs w:val="24"/>
        </w:rPr>
        <w:t>12</w:t>
      </w:r>
      <w:r>
        <w:rPr>
          <w:rFonts w:ascii="方正仿宋简体" w:eastAsia="方正仿宋简体" w:hint="eastAsia"/>
          <w:b/>
          <w:sz w:val="24"/>
          <w:szCs w:val="24"/>
        </w:rPr>
        <w:t>月</w:t>
      </w:r>
      <w:r>
        <w:rPr>
          <w:rFonts w:ascii="方正仿宋简体" w:eastAsia="方正仿宋简体" w:hint="eastAsia"/>
          <w:b/>
          <w:sz w:val="24"/>
          <w:szCs w:val="24"/>
        </w:rPr>
        <w:t>31</w:t>
      </w:r>
      <w:r>
        <w:rPr>
          <w:rFonts w:ascii="方正仿宋简体" w:eastAsia="方正仿宋简体" w:hint="eastAsia"/>
          <w:b/>
          <w:sz w:val="24"/>
          <w:szCs w:val="24"/>
        </w:rPr>
        <w:t>日</w:t>
      </w:r>
    </w:p>
    <w:sectPr w:rsidR="00946EA2">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57F8A" w14:textId="77777777" w:rsidR="00D56F96" w:rsidRDefault="00D56F96">
      <w:pPr>
        <w:spacing w:after="72"/>
      </w:pPr>
      <w:r>
        <w:separator/>
      </w:r>
    </w:p>
  </w:endnote>
  <w:endnote w:type="continuationSeparator" w:id="0">
    <w:p w14:paraId="39804DC6" w14:textId="77777777" w:rsidR="00D56F96" w:rsidRDefault="00D56F96">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黑体简体">
    <w:altName w:val="微软雅黑"/>
    <w:charset w:val="86"/>
    <w:family w:val="script"/>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方正仿宋简体">
    <w:altName w:val="微软雅黑"/>
    <w:charset w:val="00"/>
    <w:family w:val="auto"/>
    <w:pitch w:val="default"/>
  </w:font>
  <w:font w:name="方正仿宋_GBK">
    <w:altName w:val="Arial Unicode MS"/>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8042" w14:textId="77777777" w:rsidR="00946EA2" w:rsidRDefault="00D56F96">
    <w:pPr>
      <w:pStyle w:val="a3"/>
      <w:framePr w:wrap="around" w:vAnchor="text" w:hAnchor="margin" w:xAlign="center" w:y="1"/>
      <w:spacing w:after="72"/>
      <w:rPr>
        <w:rStyle w:val="a8"/>
      </w:rPr>
    </w:pPr>
    <w:r>
      <w:fldChar w:fldCharType="begin"/>
    </w:r>
    <w:r>
      <w:rPr>
        <w:rStyle w:val="a8"/>
      </w:rPr>
      <w:instrText xml:space="preserve">PAGE  </w:instrText>
    </w:r>
    <w:r>
      <w:fldChar w:fldCharType="end"/>
    </w:r>
  </w:p>
  <w:p w14:paraId="0E3424A5" w14:textId="77777777" w:rsidR="00946EA2" w:rsidRDefault="00946EA2">
    <w:pPr>
      <w:pStyle w:val="a3"/>
      <w:spacing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067B6" w14:textId="77777777" w:rsidR="00946EA2" w:rsidRDefault="00946EA2">
    <w:pPr>
      <w:pStyle w:val="a3"/>
      <w:spacing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4AB51" w14:textId="77777777" w:rsidR="00946EA2" w:rsidRDefault="00946EA2">
    <w:pPr>
      <w:pStyle w:val="a3"/>
      <w:spacing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DFCEE" w14:textId="77777777" w:rsidR="00D56F96" w:rsidRDefault="00D56F96">
      <w:pPr>
        <w:spacing w:after="72"/>
      </w:pPr>
      <w:r>
        <w:separator/>
      </w:r>
    </w:p>
  </w:footnote>
  <w:footnote w:type="continuationSeparator" w:id="0">
    <w:p w14:paraId="29CA2239" w14:textId="77777777" w:rsidR="00D56F96" w:rsidRDefault="00D56F96">
      <w:pPr>
        <w:spacing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F40ED" w14:textId="77777777" w:rsidR="00946EA2" w:rsidRDefault="00946EA2">
    <w:pPr>
      <w:pStyle w:val="a5"/>
      <w:spacing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85CB8" w14:textId="77777777" w:rsidR="00946EA2" w:rsidRDefault="00946EA2">
    <w:pPr>
      <w:pStyle w:val="a5"/>
      <w:spacing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3CD7" w14:textId="77777777" w:rsidR="00946EA2" w:rsidRDefault="00946EA2">
    <w:pPr>
      <w:pStyle w:val="a5"/>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46EA2"/>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14451"/>
    <w:rsid w:val="00D21AF8"/>
    <w:rsid w:val="00D35825"/>
    <w:rsid w:val="00D36374"/>
    <w:rsid w:val="00D45351"/>
    <w:rsid w:val="00D56F96"/>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3270C"/>
  <w15:docId w15:val="{D946E897-8BFC-4B7E-9E93-01BC879E7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pPr>
    <w:rPr>
      <w:rFonts w:eastAsiaTheme="minorEastAsia"/>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jc w:val="center"/>
    </w:pPr>
    <w:rPr>
      <w:sz w:val="18"/>
      <w:szCs w:val="18"/>
    </w:rPr>
  </w:style>
  <w:style w:type="paragraph" w:styleId="a7">
    <w:name w:val="Normal (Web)"/>
    <w:basedOn w:val="a"/>
    <w:qFormat/>
    <w:pPr>
      <w:spacing w:before="100" w:beforeAutospacing="1" w:after="100" w:afterAutospacing="1"/>
    </w:pPr>
    <w:rPr>
      <w:rFonts w:ascii="宋体" w:hAnsi="宋体"/>
      <w:kern w:val="0"/>
      <w:sz w:val="24"/>
      <w:szCs w:val="24"/>
    </w:rPr>
  </w:style>
  <w:style w:type="character" w:styleId="a8">
    <w:name w:val="page number"/>
    <w:basedOn w:val="a0"/>
    <w:uiPriority w:val="99"/>
    <w:unhideWhenUsed/>
    <w:qFormat/>
  </w:style>
  <w:style w:type="character" w:customStyle="1" w:styleId="a4">
    <w:name w:val="页脚 字符"/>
    <w:link w:val="a3"/>
    <w:uiPriority w:val="99"/>
    <w:qFormat/>
    <w:locked/>
    <w:rPr>
      <w:rFonts w:ascii="Times New Roman"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biaogeleft">
    <w:name w:val="biaoge_left"/>
    <w:basedOn w:val="a"/>
    <w:qFormat/>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pPr>
      <w:jc w:val="both"/>
    </w:pPr>
    <w:rPr>
      <w:kern w:val="2"/>
      <w:sz w:val="21"/>
      <w:szCs w:val="21"/>
    </w:rPr>
  </w:style>
  <w:style w:type="paragraph" w:customStyle="1" w:styleId="biaogeright">
    <w:name w:val="biaoge_right"/>
    <w:basedOn w:val="a"/>
    <w:qFormat/>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paragraph" w:customStyle="1" w:styleId="10">
    <w:name w:val="列出段落1"/>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444</Words>
  <Characters>2533</Characters>
  <Application>Microsoft Office Word</Application>
  <DocSecurity>0</DocSecurity>
  <Lines>21</Lines>
  <Paragraphs>5</Paragraphs>
  <ScaleCrop>false</ScaleCrop>
  <Company>cc</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PC</cp:lastModifiedBy>
  <cp:revision>125</cp:revision>
  <dcterms:created xsi:type="dcterms:W3CDTF">2022-07-23T09:20:00Z</dcterms:created>
  <dcterms:modified xsi:type="dcterms:W3CDTF">2026-01-20T08:10:00Z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