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南银理财珠联璧合致远平衡ESG主题（最低持有364天）公募人民币理财产品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南银理财珠联璧合致远平衡ESG主题（最低持有364天）公募人民币理财产品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Z7003221000170（投资者可依据该编码在中国理财网www.chinawealth.com.cn查询理财产品相关信息）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2021年12月29日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234,718,239.16份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中信期货有限公司,中欧基金管理有限公司,华安基金管理有限公司,富国基金管理有限公司,鑫沅资产管理有限公司,景顺长城基金管理有限公司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Z99001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243,448,750.12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1.0372</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Z99002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2,286.02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Z99001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0.51%</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Z99002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主要配置在债券和多资产，全年维持稳定的固收类资产配置比例，权益类资产保持较高仓位，主要配置了新能源、周期、港股互联网和泛AI产业。考虑到政策和经济的中期预期有望逐步改善，未来保持相对较高的权益仓位。</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截至报告期末，本产品Z99001份额净值为1.0372元，Z99002份额净值为1.0406元。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58.94%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39.30%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1.76%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30,691,006.24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002065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景顺长城景盛双息收益债券A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16,248,102.07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000333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美的集团</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10,550,250.00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10,082,902.56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300750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宁德时代</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9,989,472.00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518880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黄金ETF</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5,022,540.00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ZJQTT202512160002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002475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立讯精密</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4,706,930.00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688347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华虹公司</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4,314,800.00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300274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阳光电源</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4,276,000.00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0120070000000725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南银理财致远平衡ESG主题</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产品支付关联方托管费10,790.96元，支付关联方代销费211,857.49元。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