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南银理财盈瑞灵活价值精选两年定开2022第1期公募人民币理财产品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南银理财盈瑞灵活价值精选两年定开2022第1期公募人民币理财产品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Z7003222000056（投资者可依据该编码在中国理财网www.chinawealth.com.cn查询理财产品相关信息）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2022年08月09日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10,404,722.56份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中粮信托有限责任公司,华夏基金管理有限公司,鑫沅资产管理有限公司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Z91001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11,412,089.81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Z91001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非标、债券和股票资产，全年保持了较高的固收类资产配置比例，权益类资产保持较高仓位，配置了价值、周期以及港股核心资产。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截至报告期末，本产品份额净值为1.0968元。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67.00%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4,508,883.05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1,829,782.76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00576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浙江沪杭甬</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514,748.64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476,715.00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00700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腾讯控股</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430,034.08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336,835.24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002233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塔牌集团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碧桂园服务</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173,162.30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阿里巴巴－Ｗ</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153,778.46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0120080000000876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南银理财盈瑞灵活价值精选2022第1期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产品支付关联方托管费571.62元，支付关联方代销费5,654.44元。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