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南银理财珠联璧合鑫致远平衡2103两年定开公募人民币理财产品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南银理财珠联璧合鑫致远平衡2103两年定开公募人民币理财产品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Z7003221000001（投资者可依据该编码在中国理财网www.chinawealth.com.cn查询理财产品相关信息）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2021年03月18日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10,574,801.48份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欧基金管理有限公司,华夏基金管理有限公司,华宝基金管理有限公司,嘉实基金管理有限公司,富国基金管理有限公司,广东粤财信托有限公司,易方达基金管理有限公司,华泰柏瑞基金管理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Z90003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11,700,678.11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Z90003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0.53%</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投资策略上，固收方面，维持信用债策略打底，并择机参与利率债波段的投资机会。权益方面，2026年一季度操作将维持积极，重点围绕科技、资源品和内需方向做布局，密切关注外围环境、国内经济情况、政策动向以及市场量能等，优选管理人，追求合适收益率同时努力控制好净值的回撤。</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截至报告期末，本产品份额净值为1.1064元。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54.49%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13.02%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32.49%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16.96%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粤财信托·瑞兴220号集合资金信托计划（第3期）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4,509,485.91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1,830,299.59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017992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华泰柏瑞致远混合C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546,898.19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513770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港股互联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003505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景顺长城景颐丰利债券C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511,798.99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001069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华泰柏瑞消费成长混合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468,233.40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011068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华宝资源优选混合C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455,645.84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019889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中欧周期优选混合发起C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441,862.36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018998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景顺长城研究精选股票C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320,185.61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023512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景顺长城景颐丰利债券F类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302,525.05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绍兴袍江经济技术开发区投资发展集团有限公司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粤财信托·瑞兴220号集合资金信托计划（第3期）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0120010000000573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南银理财鑫致远平衡2103两年定开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产品支付关联方托管费576.11元，支付关联方代销费11,201.46元。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