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南银理财珠联璧合致远平衡2012两年定开公募人民币理财产品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南银理财珠联璧合致远平衡2012两年定开公募人民币理财产品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2020年12月24日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6,833,021.07份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中信期货有限公司,百瑞信托有限责任公司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7,588,652.54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非标、债券和股票资产。产品操作上，债券资产将继续保持一定的配置仓位，进一步加强对杠杆和久期的管理；权益方面，今年以来市场成交量、时序波动率以及截面波动率均处于高位，当前环境下对量化策略获取超额比较友好。随着市场风险偏好维持高位，预期成交量和波动率会一直处于较高水平，且市场成交量依旧保持活跃，有利于量化策略的运作，对量化策略后续表现保持乐观态度。</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截至报告期末，本产品份额净值为1.1105元。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47.31%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52.69%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HHQTT202306290001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中信期货宁宽中性1号集合资产管理计划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4,011,196.88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XTDKX202502260035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百瑞恒益1679号集合资金信托计划（南恒投资）第1期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3,005,524.59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482,432.31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百瑞恒益1679号集合资金信托计划（南恒投资）第1期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0120010000000511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南京银行致远平衡2012两年定开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产品支付关联方托管费374.49元，支付关联方代销费3,707.52元。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