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南银理财珠联璧合致远平衡2009两年定开公募人民币理财产品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南银理财珠联璧合致远平衡2009两年定开公募人民币理财产品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2020年09月24日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4,553,389.49份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中信期货有限公司,中信建投证券股份有限公司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5,216,160.90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非标、债券和股票资产。产品操作上，债券资产将继续保持一定的配置仓位，进一步加强对杠杆和久期的管理；权益方面，今年以来市场成交量、时序波动率以及截面波动率均处于高位，当前环境下对量化策略获取超额比较友好。随着市场风险偏好维持高位，预期成交量和波动率会一直处于较高水平，且市场成交量依旧保持活跃，有利于量化策略的运作，对量化策略后续表现保持乐观态度。</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截至报告期末，本产品份额净值为1.1455元。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HHQTT202306290001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中信期货宁宽中性1号集合资产管理计划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2,786,506.92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HHQTT202511040002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中信建投鑫宁增利1号集合资产管理计划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2,414,387.05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24,592.03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0120070000000443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南京银行致远平衡2009两年定开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产品支付关联方托管费257.08元，支付关联方代销费2,544.27元。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