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南银理财增瑞财富牛（最低持有189天）2号公募人民币理财产品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南银理财增瑞财富牛（最低持有189天）2号公募人民币理财产品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Z7003225000060（投资者可依据该编码在中国理财网www.chinawealth.com.cn查询理财产品相关信息）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9,001,099,678.72份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欧基金管理有限公司,中粮信托有限责任公司,中诚信托有限责任公司,兴业基金管理有限公司,华夏基金管理有限公司,华安基金管理有限公司,华泰资产管理有限公司,华鑫证券有限责任公司,国投泰康信托有限公司,国泰基金管理有限公司,富国基金管理有限公司,广发基金管理有限公司,招商基金管理有限公司,鑫沅资产管理有限公司,鹏华基金管理有限公司,易方达基金管理有限公司,南方基金管理股份有限公司,景顺长城基金管理有限公司,泰康资产管理有限责任公司,太平洋资产管理有限责任公司,汇添富基金管理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9,151,998,538.96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1.020216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1.020216</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31,090,653.06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1.020907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截至报告期末，本产品Z70021份额净值为1.020216元，Z70023份额净值为1.020907元。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3,224,155,358.70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811,252,749.01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112509283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25浦发银行CD283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295,162,800.00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112509288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25浦发银行CD288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196,785,400.00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112511073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25平安银行CD073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196,766,600.00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25工行二级资本债01BC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149,607,750.00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147,344,800.03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129,184,858.41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ZJQTT202304110023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华泰资产宁泰稳利资产管理产品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114,429,178.29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110,453,039.49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南银理财增瑞财富牛最低持有189天2号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产品投资于关联方承销的证券交易金额180,012,602.73元。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产品投资关联方作为管理人的资产管理产品交易金额1,485,000,000.00元。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产品支付关联方托管费343,849.85元，支付关联方代销费1,128,344.72元。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