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南银理财增瑞财富牛（最低持有540天）1号公募人民币理财产品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南银理财增瑞财富牛（最低持有540天）1号公募人民币理财产品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Z7003225000058（投资者可依据该编码在中国理财网www.chinawealth.com.cn查询理财产品相关信息）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2025年03月20日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190,148,515.24份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华夏基金管理有限公司,华泰资产管理有限公司,国泰基金管理有限公司,富国基金管理有限公司,广发基金管理有限公司,招商基金管理有限公司,鑫沅资产管理有限公司,易方达基金管理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Z70020</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196,179,251.98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1.031715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1.031715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Z70020</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权益方面，在三季度一轮低波、快速的普涨后，市场经历了季度维度的震荡调整，板块分化突出，泛科技产业链超额显著，红利明显承压。从大类资产配置和全球资金流动的角度看中国资产依然具备较高性价比，但历史估值看，除纯内需板块，中国资产整体已修复至中枢以上，部分板块估值处于偏贵区间，结构选择需更加谨慎。展望一季度，积极看多权益市场，维持中枢以上仓位，判断交易逻辑仍聚焦安全主题，在自由现金流资产的底仓配置基础上，积极增配资源品、资本品等景气方向。</w:t>
        <w:br w:type="textWrapping" w:clear="all"/>
      </w:r>
      <w:r>
        <w:rPr>
          <w:rFonts w:hint="eastAsia" w:ascii="方正仿宋简体" w:eastAsia="方正仿宋简体"/>
          <w:sz w:val="24"/>
          <w:szCs w:val="24"/>
        </w:rPr>
        <w:t>  本产品为长持有期固收+产品，在运作期内操作上主配置2年信用债，积极采用杠杆获取收益增厚，同时配置二级债基、权益ETF等含权资产。后续我们将继续研判市场，将风险预算在不同大类资产里进行合理分配，在波动可控的范围内为客户提供收益弹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截至报告期末，本产品份额净值为1.031715元。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94.31%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5.69%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ZJQTT202312060003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66,839,128.69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33,035,596.15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30,201,358.98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159201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自由现金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6,747,624.00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景顺长城南景悦享2号集合资产管理计划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5,718,358.31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ZJQTT202304110023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华泰资产宁泰稳利资产管理产品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5,094,636.93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5,060,418.10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景顺长城南景悦享1号集合资产管理计划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5,042,332.20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ZJQTT202101180001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易方达基金鸿鹤1号集合资产管理计划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3,017,512.85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513750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港股非银</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2,212,262.40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0101000000001409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南银理财增瑞财富牛最低持有540天1号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产品支付关联方托管费7,117.73元，支付关联方代销费74,610.84元。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