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南银理财增瑞财富牛（最低持有120天）1号公募人民币理财产品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南银理财增瑞财富牛（最低持有120天）1号公募人民币理财产品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3,854,773,945.04份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欧基金管理有限公司,中粮信托有限责任公司,中诚信托有限责任公司,兴业基金管理有限公司,华夏基金管理有限公司,华泰资产管理有限公司,华鑫证券有限责任公司,富国基金管理有限公司,广发基金管理有限公司,招商基金管理有限公司,鑫沅资产管理有限公司,易方达基金管理有限公司,中国人寿资产管理有限公司,南方基金管理股份有限公司,景顺长城基金管理有限公司,上海东方证券资产管理有限公司,百年保险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3,855,421,740.94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163,778,950.30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1.041819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1.041819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呈现"票息为王"特征，票息收益成为投资收益主要来源。市场对超长信用债认可度不足，买方需求偏弱。11月下旬受公募基金费率新规预期和万科展期事件扰动，信用利差被动走阔。机构行为方面，摊余成本债基进入开放期后转向信用债投资，支撑信用债表现，中债-公司债总指数财富指数上涨0.679%，高于国债指数0.1647%的涨幅，分期限看，短端品种表现更优。</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w:t>
        <w:br w:type="textWrapping" w:clear="all"/>
      </w:r>
      <w:r>
        <w:rPr>
          <w:rFonts w:hint="eastAsia" w:ascii="方正仿宋简体" w:eastAsia="方正仿宋简体"/>
          <w:sz w:val="24"/>
          <w:szCs w:val="24"/>
        </w:rPr>
        <w:t>  展望后市，预计经济结构K型复苏，通胀温和回升，货币环境维持宽松。债券方面关注政府债供给节奏、货币政策落地力度、两会政策预期及信用风险事件等因素带来的市场变动，在把握中短久期品种票息机会的基础上择机参与长债波段机会。权益方面春季躁动值得期待，继续保持中枢以上仓位，在配置自由现金流资产的基础上，积极寻找结构性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截至报告期末，本产品Z70015份额净值为1.042690元，Z70016份额净值为1.041819元。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94.66%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5.34%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310,613,913.23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310,015,761.84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252,342,453.66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120,010,156.94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100,115,853.59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IBD20251126300039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IBD20251203300050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93,030,408.07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81,918,264.79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南京银行南京分行南银理财增瑞财富牛最低持有120天1号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产品投资于关联方承销的证券交易金额159,998,030.15元。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产品支付关联方托管费276,752.59元，支付关联方代销费4,078,712.43元。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