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南银理财珠联璧合财富牛（最低持有91天）公募人民币理财产品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南银理财珠联璧合财富牛（最低持有91天）公募人民币理财产品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Z7003223000094（投资者可依据该编码在中国理财网www.chinawealth.com.cn查询理财产品相关信息）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2,868,168,273.95份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欧基金管理有限公司,中诚信托有限责任公司,兴业基金管理有限公司,华夏基金管理有限公司,华安基金管理有限公司,华泰资产管理有限公司,华鑫证券有限责任公司,博时基金管理有限公司,国投泰康信托有限公司,富国基金管理有限公司,广发基金管理有限公司,招商基金管理有限公司,紫金信托有限责任公司,鑫沅资产管理有限公司,易方达基金管理有限公司,中国人寿资产管理有限公司,南方基金管理股份有限公司,景顺长城基金管理有限公司,泰康资产管理有限责任公司,汇添富基金管理股份有限公司,上海东方证券资产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2,309,437,815.53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786,142,265.37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1-2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截至报告期末，本产品Z70013份额净值为1.0788元，Z70014份额净值为1.0804元。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96.74%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1,526,023,690.63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285,905,949.80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XJCKX202502270001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网商银行活期存款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211,865,640.55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112518279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25华夏银行CD279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98,799,100.00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112512161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25北京银行CD161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98,364,400.00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80,087,409.59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70,038,713.25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67,162,885.81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国寿资产-源流1号保险资产管理产品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50,019,716.09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24津城建MTN001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40,837,560.00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0120040000001175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南银理财财富牛最低持有91天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产品投资关联方作为管理人的资产管理产品交易金额250,000,000.00元。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产品支付关联方托管费147,622.81元，支付关联方代销费1,188,510.00元。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