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南银理财珠联璧合财富牛（最低持有189天）公募人民币理财产品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南银理财珠联璧合财富牛（最低持有189天）公募人民币理财产品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2022年03月03日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1,159,282,419.35份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欧基金管理有限公司,中诚信托有限责任公司,兴业基金管理有限公司,华商基金管理有限公司,华夏基金管理有限公司,华安基金管理有限公司,华泰资产管理有限公司,富国基金管理有限公司,广发基金管理有限公司,招商基金管理有限公司,紫金信托有限责任公司,鑫沅资产管理有限公司,易方达基金管理有限公司,南方基金管理股份有限公司,景顺长城基金管理有限公司,汇添富基金管理股份有限公司,上海东方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951,086,236.50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329,917,954.77</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Z70007</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4,897,639.74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Z70007</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1-2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截至报告期末，本产品Z70005份额净值为1.1081元，Z70006份额净值为1.1124元，Z70007份额净值为1.1036元。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98.01%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553,140,388.87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180,000,732.08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XJCKX202502270001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网商银行活期存款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91,318,893.82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66,646,035.37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55,100,794.03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33,095,214.40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31,451,993.92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254127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24武高01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30,365,730.00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26,433,632.08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002925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广发集源债券A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21,270,020.31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0120010000000766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南银理财财富牛最低持有189天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产品支付关联方托管费70,230.97元，支付关联方代销费940,487.15元。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