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南银理财珠联璧合鑫悦享周周盈公募人民币理财产品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南银理财珠联璧合鑫悦享周周盈公募人民币理财产品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Z7003220000001（投资者可依据该编码在中国理财网www.chinawealth.com.cn查询理财产品相关信息）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2019年10月29日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3,107,456,143.37份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紫金信托有限责任公司,鑫元基金管理有限公司,长江养老保险股份有限公司,太平洋资产管理有限责任公司,江苏省国际信托有限责任公司,光大永明资产管理股份有限公司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3,465,381,181.19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1.1194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1.1903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13,084,240.55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1.1199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1.1199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Z43003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42,065.55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1.1155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1.1155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截至报告期末，本产品Z40003份额净值为1.1194元，Z42003份额净值为1.1199元，Z43003份额净值为1.1155元。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700,109,784.76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XJCKX202309250001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中国银行上海分行活期存款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455,027,681.10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450,097,758.82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411,698,421.40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北京银行定期存款20250606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ZJQTT202406170021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长江养老金色短债存款固收型集合资产管理产品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257,334,388.22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248,165,644.10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DQCKX202504030005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中国银行定期存款20250403B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100,385,060.29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XJCKX202512220001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浦发银行南京分行活期存款（约期）20251222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0120080000000334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南京银行鑫悦享周周盈</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产品投资关联方作为管理人的资产管理产品交易金额300,000,000.00元。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产品支付关联方托管费189,352.78元，支付关联方代销费550,231.54元。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