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南银理财珠联璧合安稳1912一年定开公募人民币理财产品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南银理财珠联璧合安稳1912一年定开公募人民币理财产品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Z7003221000019（投资者可依据该编码在中国理财网www.chinawealth.com.cn查询理财产品相关信息）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2019年12月05日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4,970,728,951.93份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中粮信托有限责任公司,中诚信托有限责任公司,国投泰康信托有限公司,天弘基金管理有限公司,广东粤财信托有限公司,招商基金管理有限公司,百瑞信托有限责任公司,鑫元基金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2,752,755,961.32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1.2551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Z31008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618,568,214.30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Z32008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211,006,782.02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Z33008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502,379,272.14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ZA31008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357,929,500.16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ZA32008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232,295,882.49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ZA33008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430,073,935.38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截至报告期末，本产品Z30008份额净值为1.0272元，Z31008份额净值为1.0270元，Z32008份额净值为1.0260元，Z33008份额净值为1.0254元，ZA31008份额净值为1.0283元，ZA32008份额净值为1.0272元，ZA33008份额净值为1.0266元。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93.90%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6.10%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654,294,476.87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591,995,225.96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XTDKX202503030024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中信信托·惠泽12号债权投资集合资金信托计划第1期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501,094,030.00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XTDKX202502260035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百瑞恒益1679号集合资金信托计划（南恒投资）第1期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492,906,032.76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XTDKX202502240023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240,473,652.00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XTDKX202502180021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200,245,750.00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XTDKX202503260022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165,522,003.20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XTDKX202502260040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150,288,700.50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240111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23建投Y2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101,378,500.00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100,220,908.00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百瑞恒益1679号集合资金信托计划（南恒投资）第1期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高邮市交通产业投资集团有限公司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江苏东和投资集团有限公司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扬州邗城国控集团有限公司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中信信托·惠泽12号债权投资集合资金信托计划第1期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百瑞恒益1705号集合资金信托计划（鹏南17号）第1期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无锡惠山高科集团有限公司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0120050000000316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南京银行安稳1912一年定开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产品投资于关联方承销的证券交易金额51,783,000.00元。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产品投资关联方作为管理人的资产管理产品交易金额591,000,000.00元。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产品支付关联方托管费252,905.18元，支付关联方代销费2,036,070.44元。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