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南银理财增瑞合元（最低持有371天）公募人民币理财产品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南银理财增瑞合元（最低持有371天）公募人民币理财产品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Z7003223000068（投资者可依据该编码在中国理财网www.chinawealth.com.cn查询理财产品相关信息）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121,308,915.04份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中信信托有限责任公司,华安基金管理有限公司,鑫沅资产管理有限公司,交银施罗德基金管理有限公司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128,687,126.53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主要配置在债券和股票资产，全年保持了较高的固收类资产配置比例，四季度以来权益类资产保持较高仓位，主要配置了周期、港股互联网和泛AI产业。考虑到政策和经济的中期预期有望逐步改善，未来保持相对较高的权益仓位。</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截至报告期末，本产品Z20013份额净值为1.0608元。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89.76%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79,417,378.65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14,013,124.80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016396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交银稳益短债债券A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8,376,219.13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5,669,003.73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宁德时代</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2,130,108.00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2,067,600.00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00700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腾讯控股</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1,720,136.32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09988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阿里巴巴－Ｗ</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1,665,933.36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000333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美的集团</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1,563,000.00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002475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立讯精密</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1,531,170.00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0120090000001125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南银理财增瑞合元最低持有371天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产品支付关联方托管费7,220.12元，支付关联方代销费94,218.21元。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