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南银理财珠联璧合增瑞明远两年定开2022第1期公募人民币理财产品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南银理财珠联璧合增瑞明远两年定开2022第1期公募人民币理财产品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Z7003222000046（投资者可依据该编码在中国理财网www.chinawealth.com.cn查询理财产品相关信息）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2022年07月06日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2,184,978.15份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华夏基金管理有限公司,广东粤财信托有限公司,鑫沅资产管理有限公司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Z20012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2,502,889.27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Z20012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0.59%</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在非标、债券和股票资产，全年保持了较高的固收类资产配置比例，权益类资产保持较高仓位，主要配置了科技、周期以及港股核心资产。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截至报告期末，本产品份额净值为1.1454元。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84.04%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15.96%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1,002,789.20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794,898.73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004043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华夏鼎茂债券C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191,325.59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000333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美的集团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快手－Ｗ</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40,172.11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002475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立讯精密</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39,697.00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阿里巴巴－Ｗ</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38,444.62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宁德时代</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36,726.00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601138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工业富联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002222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福晶科技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22,536.00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0120080000000862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南银理财增瑞两年定开2022第1期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产品支付关联方托管费125.11元，支付关联方代销费1,242.14元。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