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南银理财珠联璧合致远（最低持有371天）公募人民币理财产品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455,807,266.32份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庚基金管理有限公司,华夏基金管理有限公司,华安基金管理有限公司,嘉实基金管理有限公司,国泰基金管理有限公司,大成基金管理有限公司,富国基金管理有限公司,永赢基金管理有限公司,鑫沅资产管理有限公司,银华基金管理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356,604,154.29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1.0967</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143,826,357.21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截至报告期末，本产品Z20008份额净值为1.0967元，Z20009份额净值为1.1007元。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78.92%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12.82%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123,844,833.14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95,396,554.22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89,095,544.62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28,744,638.55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25,065,193.88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20,044,227.24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14,952,126.75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13,209,810.00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10,525,491.74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001231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银华泰利灵活配置混合A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10,061,662.11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0120020000000803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南银理财致远最低持有371天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产品支付关联方托管费19,253.64元，支付关联方代销费191,835.58元。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