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南银理财珠联璧合致远一年定开2022第1期公募人民币理财产品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南银理财珠联璧合致远一年定开2022第1期公募人民币理财产品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Z7003222000005（投资者可依据该编码在中国理财网www.chinawealth.com.cn查询理财产品相关信息）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2022年01月19日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101,195,658.00份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信期货有限公司,中信信托有限责任公司,中欧基金管理有限公司,华夏基金管理有限公司,华安基金管理有限公司,嘉实基金管理有限公司,大成基金管理有限公司,富国基金管理有限公司,广东粤财信托有限公司,鑫沅资产管理有限公司,摩根基金管理(中国)有限公司,申万宏源证券资产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Z20007</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104,736,608.41</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1.0349</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1.1244</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Z20007</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0.62%</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权益方面，2025年A/H股在政策与流动性双重驱动下走出结构性牛市，资源与科技成为贯穿全年的上涨主线。美联储重启降息改善全球流动性，美元走弱提振大宗商品价格，同时AI商业化加速推动科技方向景气持续上行。展望2026年，我们认为指数慢牛行情仍可期待，主要支撑来自三方面；其一，流动性环境依然友好，当前股债收益差处于历史均值以下，人民币升值预期与全球估值比较优势下，国内资金配置与外资回流均有空间；其二，经济基本面修复动能增强，企业盈利有望在地产拖累减弱、海外盈利持续增长、以及反内卷政策引导下重回上行周期；其三，政策与改革红利延续，“十五五”开局之年产业政策预计积极发力，资本市场改革持续推进，亦有助于支撑市场风险偏好。整体上，预计全球流动性环境保持宽松，国内财政货币政策协同托底，若企业盈利如期改善、汇率稳定，外资回流可能加速，港股弹性或更突出，风险方面关注地产修复、地方化债及地缘局势等因素。</w:t>
        <w:br w:type="textWrapping" w:clear="all"/>
      </w:r>
      <w:r>
        <w:rPr>
          <w:rFonts w:hint="eastAsia" w:ascii="方正仿宋简体" w:eastAsia="方正仿宋简体"/>
          <w:sz w:val="24"/>
          <w:szCs w:val="24"/>
        </w:rPr>
        <w:t>  固收方面，2025年债市收益率总体震荡上行，短端表现相对较好。虽然从全年维度来看，流动性层面央行态度整体维持宽松，经济基本面角度货币和信贷周期、物价因子修复速率呈现前高后低的态势，但是债市对2024年利率快速下行“透支”行情的修正较为持续，特别是一季度的央行公开市场投放持续偏紧和下半年的债基销售规则、税费改革等负面事件压制债市，长久期资产受到负债端扰动更加明显，10年国债到期收益率最大上行30BP左右。目前来看，后期央行延续流动性宽松的确定性较高，降准预期有所升温，负债端扰动可能亦接近尾声，判断债市在2026年将逐步迎来行情机会，预计“短端好于长端、配置优于交易”的市场特征仍会有一定持续性，在曲线走陡，利差改善的趋势中，我们总体维持偏中性观点，对配置机会的把握相对波段交易会更加积极，短期关注套息空间变化和信贷开门红情况。</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主要投向具有良好流动性的金融工具（包括但不限于国内依法发行的债券和证券投资基金等），并对标的进行分散化投资，防范流动性风险。本产品所投资的非标准化债权类资产的投资比例，不超过产品说明书约定的比例上限，资产到期日不晚于本产品的最近一次开放日。</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截至报告期末，本产品份额净值为1.0349元。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82.54%</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8.28%</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14.26%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9.18%</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XTDKX202503200001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粤财信托·瑞兴216号集合资金信托计划第1期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49,111,071.24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46.89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ZJQTT202410090021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华安基金-宁利1号集合资产管理计划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18,201,309.18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17.38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7,254,732.47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6.93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ZJQTT202502270021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中信信托信宁添利1号证券投资集合资金信托计划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7,005,525.40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6.69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HHQTT202304260001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中信期货宁稳1号集合资产管理计划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4,370,122.07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HHQTT202405290002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中信期货宁稳2号集合资产管理计划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4,274,315.98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ZJQTT202506230004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申万宏源宁睿新享1号集合资产管理计划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3,006,858.16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159792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互联网</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2,529,000.00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518880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黄金ETF</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1,876,941.80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159201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自由现金</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1,215,000.00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1.16</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盐城市国有资产投资集团有限公司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粤财信托·瑞兴216号集合资金信托计划第1期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84</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0120000000000738</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南银理财致远一年定开2022第1期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产品支付关联方托管费5,184.09元，支付关联方代销费78,391.09元。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