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南银理财珠联璧合致远2010一年定开公募人民币理财产品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南银理财珠联璧合致远2010一年定开公募人民币理财产品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Z7003221000045（投资者可依据该编码在中国理财网www.chinawealth.com.cn查询理财产品相关信息）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2020年10月21日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218,461,210.00份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信期货有限公司,中信信托有限责任公司,中欧基金管理有限公司,华夏基金管理有限公司,华安基金管理有限公司,嘉实基金管理有限公司,大成基金管理有限公司,富国基金管理有限公司,鑫沅资产管理有限公司,摩根基金管理(中国)有限公司,申万宏源证券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Z20005</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218,705,525.77</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1.0011</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1.1959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Z20005</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0.62%</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展望2026年，我们认为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固收方面，2025年债市收益率总体震荡上行，短端表现相对较好。虽然从全年维度来看，流动性层面央行态度整体维持宽松，经济基本面角度货币和信贷周期、物价因子修复速率呈现前高后低的态势，但是债市对2024年利率快速下行“透支”行情的修正较为持续，特别是一季度的央行公开市场投放持续偏紧和下半年的债基销售规则、税费改革等负面事件压制债市，长久期资产受到负债端扰动更加明显，10年国债到期收益率最大上行30BP左右。目前来看，后期央行延续流动性宽松的确定性较高，降准预期有所升温，负债端扰动可能亦接近尾声，判断债市在2026年将逐步迎来行情机会，预计“短端好于长端、配置优于交易”的市场特征仍会有一定持续性，在曲线走陡，利差改善的趋势中，我们总体维持偏中性观点，对配置机会的把握相对波段交易会更加积极，短期关注套息空间变化和信贷开门红情况。</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具有良好流动性的金融工具（包括但不限于国内依法发行的债券和证券投资基金等），并对标的进行分散化投资，防范流动性风险。本产品所投资的非标准化债权类资产的投资比例，不超过产品说明书约定的比例上限，资产到期日不晚于本产品的最近一次开放日。</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截至报告期末，本产品份额净值为1.0011元。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83.34%</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85.88%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7.48%</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9.18%</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ZJQTT202502270021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中信信托信宁添利1号证券投资集合资金信托计划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77,053,867.94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35.23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华安基金-宁利1号集合资产管理计划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40,699,513.18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18.61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ZJQTT202506230004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申万宏源宁睿新享1号集合资产管理计划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24,017,080.73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24,005,094.44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032380595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23泰兴城投PPN006</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10,124,110.00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HHQTT202304260001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中信期货宁稳1号集合资产管理计划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8,779,272.36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HHQTT202405290002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中信期货宁稳2号集合资产管理计划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8,737,278.81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159561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德国ETF</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4,104,000.00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159792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互联网</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3,456,300.00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HHQTT202406070001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中欧基金南裕1号集合资产管理计划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2,595,226.97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0120090000000461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南京银行致远2010一年定开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产品支付关联方托管费7,573.70元，支付关联方代销费114,127.93元。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