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南银理财珠联璧合致远1912一年定开公募人民币理财产品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南银理财珠联璧合致远1912一年定开公募人民币理财产品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Z7003221000041（投资者可依据该编码在中国理财网www.chinawealth.com.cn查询理财产品相关信息）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2019年12月19日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457,401,235.26份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庚基金管理有限公司,中欧基金管理有限公司,中粮信托有限责任公司,华夏基金管理有限公司,华安基金管理有限公司,大成基金管理有限公司,富国基金管理有限公司,百瑞信托有限责任公司,鑫沅资产管理有限公司,兴证全球基金管理有限公司,申万宏源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Z20002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475,804,009.46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1.2598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Z20002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包括但不限于国内依法发行的债券和证券投资基金等），并对标的进行分散化投资，防范流动性风险。本产品所投资的非标准化债权类资产的投资比例，不超过产品说明书约定的比例上限，资产到期日不晚于本产品的最近一次开放日。</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截至报告期末，本产品份额净值为1.0402元。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82.00%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6.21%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11.79%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XTDKX202502240023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125,246,693.75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XTDKX202502240001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百瑞恒益1605号集合资金信托计划（南瑞9号）第1期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100,219,672.00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ZJQTT202506230004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申万宏源宁睿新享1号集合资产管理计划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54,110,898.48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21,464,254.54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HHQTT202405290002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21,316,436.48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2080043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20泰信债01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20,736,320.00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102282374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22宿迁经开MTN003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20,106,620.00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19,722,698.17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13,376,320.12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102383428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23津城建MTN016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10,204,620.00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东台市文化旅游投资发展集团有限公司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百瑞恒益1605号集合资金信托计划（南瑞9号）第1期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中粮信托·南盈14号集合资金信托计划（第2期）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0120050000000340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南京银行致远1912一年定开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产品支付关联方托管费23,516.91元，支付关联方代销费356,126.40元。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