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南银理财珠联璧合致远1909一年定开公募人民币理财产品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南银理财珠联璧合致远1909一年定开公募人民币理财产品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Z7003221000040（投资者可依据该编码在中国理财网www.chinawealth.com.cn查询理财产品相关信息）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2019年09月19日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414,458,893.40份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信信托有限责任公司,中庚基金管理有限公司,华夏基金管理有限公司,华安基金管理有限公司,嘉实基金管理有限公司,大成基金管理有限公司,富国基金管理有限公司,鑫沅资产管理有限公司,陆家嘴国际信托有限公司,摩根基金管理(中国)有限公司,申万宏源证券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415,625,439.72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1.0028</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1.2464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Z20001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固收方面，2025年债市收益率总体震荡上行，短端表现相对较好。虽然从全年维度来看，流动性层面央行态度整体维持宽松，经济基本面角度货币和信贷周期、物价因子修复速率呈现前高后低的态势，但是债市对2024年利率快速下行“透支”行情的修正较为持续，特别是一季度的央行公开市场投放持续偏紧和下半年的债基销售规则、税费改革等负面事件压制债市，长久期资产受到负债端扰动更加明显，10年国债到期收益率最大上行30BP左右。目前来看，后期央行延续流动性宽松的确定性较高，降准预期有所升温，负债端扰动可能亦接近尾声，判断债市在2026年将逐步迎来行情机会，预计“短端好于长端、配置优于交易”的市场特征仍会有一定持续性，在曲线走陡，利差改善的趋势中，我们总体维持偏中性观点，对配置机会的把握相对波段交易会更加积极，短期关注套息空间变化和信贷开门红情况。</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截至报告期末，本产品份额净值为1.0028元。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82.31%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84.41%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8.54%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9.15%</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XTDKX202512090002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陆家嘴信托-稳新-南睿11号集合资金信托计划（第1期）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124,217,820.88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中信信托信宁添利1号证券投资集合资金信托计划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69,724,048.86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57,809,500.34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申万宏源宁睿新享1号集合资产管理计划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50,089,409.90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华安基金-宁利1号集合资产管理计划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18,378,162.27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HHQTT202405290002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16,542,376.38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16,454,246.93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032380821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23仪征城发PPN002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10,160,460.00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032380595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23泰兴城投PPN006</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10,124,110.00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8,598,600.00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江苏武进太湖湾旅游发展有限公司</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陆家嘴信托-稳新-南睿11号集合资金信托计划（第1期）</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0120020000000327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南京银行致远1909一年定开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产品支付关联方托管费13,655.45元，支付关联方代销费193,578.78元。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