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南银理财珠联璧合理财管理计划5号开放式公募人民币理财产品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南银理财珠联璧合理财管理计划5号开放式公募人民币理财产品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2,956,105,033.32份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欧基金管理有限公司,中粮信托有限责任公司,中诚信托有限责任公司,中银基金管理有限公司,兴业基金管理有限公司,南京证券股份有限公司,天弘基金管理有限公司,平安基金管理有限公司,广发基金管理有限公司,招商基金管理有限公司,永赢基金管理有限公司,紫金信托有限责任公司,鑫元基金管理有限公司,鑫沅资产管理有限公司,鹏华基金管理有限公司,易方达基金管理有限公司,南方基金管理股份有限公司,景顺长城基金管理有限公司,交银施罗德基金管理有限公司,上海东方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2,392,449,980.59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1.1969</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Z11010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1,150,757,388.15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Z11010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四季度债市呈现"票息为王"特征，票息收益成为投资收益主要来源。市场对超长信用债认可度不足，买方需求偏弱。11月下旬受公募基金费率新规预期和万科展期事件扰动，信用利差被动走阔。机构行为方面，摊余成本债基进入开放期后转向信用债投资，支撑信用债表现，中债-公司债总指数财富指数上涨0.679%，高于国债指数0.1647%的涨幅，分期限看，短端品种表现更优。</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中短久期品种票息机会与长久期品种博弈窗口。</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截至报告期末，本产品Z11009份额净值为1.1969元，Z11010份额净值为1.2020元。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142,875,212.58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25进出01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119,999,760.00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032480409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24沪地产PPN001(保障性住房平急两用)</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100,860,200.00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90,596,107.13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253485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24华远01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90,069,480.00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032480050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24沛县城投PPN001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80,039,120.00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ZJQTT202402050001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南京证券神州盈悦3号集合资产管理计划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73,694,857.84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21工商银行二级02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71,152,900.00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032481143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24淮安国联PPN004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61,203,900.00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102484742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24中交租赁MTN001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60,477,900.00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0120040000000473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南京银行理财管理计划5号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产品投资关联方作为管理人的资产管理产品交易金额99,999,000.00元。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产品支付关联方托管费197,626.13元，支付关联方代销费1,893,559.86元。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