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南银理财珠联璧合理财管理计划4号开放式公募人民币理财产品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南银理财珠联璧合理财管理计划4号开放式公募人民币理财产品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Z7003220000017（投资者可依据该编码在中国理财网www.chinawealth.com.cn查询理财产品相关信息）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2020年10月22日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3,379,968,963.86份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欧基金管理有限公司,中粮信托有限责任公司,中诚信托有限责任公司,天弘基金管理有限公司,平安基金管理有限公司,广发基金管理有限公司,招商基金管理有限公司,永赢基金管理有限公司,鑫元基金管理有限公司,鑫沅资产管理有限公司,易方达基金管理有限公司,中国人保资产管理有限公司,景顺长城基金管理有限公司,泰康资产管理有限责任公司,长江养老保险股份有限公司,交银施罗德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3,278,177,763.83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1.1921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1.1921</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753,697,387.18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1.1960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1.1960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四季度债市呈现"票息为王"特征，票息收益成为投资收益主要来源。市场对超长信用债认可度不足，买方需求偏弱。11月下旬受公募基金费率新规预期和万科展期事件扰动，信用利差被动走阔。机构行为方面，摊余成本债基进入开放期后转向信用债投资，支撑信用债表现，中债-公司债总指数财富指数上涨0.679%，高于国债指数0.1647%的涨幅，分期限看，短端品种表现更优。</w:t>
        <w:br w:type="textWrapping" w:clear="all"/>
      </w:r>
      <w:r>
        <w:rPr>
          <w:rFonts w:hint="eastAsia" w:ascii="方正仿宋简体" w:eastAsia="方正仿宋简体"/>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中短久期品种票息机会与长久期品种博弈窗口。</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截至报告期末，本产品Z11005份额净值为1.1921元，Z11006份额净值为1.1960元。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94.47%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5.53%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371,181,208.63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中国人保资产中短期配置12号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191,511,596.60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169,270,080.15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长江养老金色短债存款固收型集合资产管理产品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153,241,200.96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景顺长城南景悦享1号集合资产管理计划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100,916,078.04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IBD20251126300040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57日线上同业存款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IBD20251205300020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34日线上同业存款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上海银行定期存款20250812A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80,003,255.33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102481581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24津临港投MTN001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71,287,090.00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0120060000000472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南京银行理财管理计划4号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产品投资于关联方承销的证券交易金额100,006,394.52元。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产品与关联方作为交易对手开展的投融资业务交易金额260,000,000.00元。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产品投资关联方作为管理人的资产管理产品交易金额149,999,000.00元。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产品支付关联方托管费208,875.69元，支付关联方代销费1,475,238.71元。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