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南银理财珠联璧合致远1902一年定开公募人民币理财产品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南银理财珠联璧合致远1902一年定开公募人民币理财产品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Z7003221000039（投资者可依据该编码在中国理财网www.chinawealth.com.cn查询理财产品相关信息）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2019年02月12日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846,105,911.10份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期货有限公司,中庚基金管理有限公司,中欧基金管理有限公司,华夏基金管理有限公司,华安基金管理有限公司,嘉实基金管理有限公司,大成基金管理有限公司,富国基金管理有限公司,广东粤财信托有限公司,鑫沅资产管理有限公司,易方达基金管理有限公司,中信建投证券股份有限公司,重庆国际信托股份有限公司,银华基金管理股份有限公司,摩根基金管理(中国)有限公司,申万宏源证券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872,759,793.53</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1.0315</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1.2960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固收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具有良好流动性的金融工具（包括但不限于国内依法发行的债券和证券投资基金等），并对标的进行分散化投资，防范流动性风险。本产品所投资的非标准化债权类资产的投资比例，不超过产品说明书约定的比例上限，资产到期日不晚于本产品的最近一次开放日。</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截至报告期末，本产品份额净值为1.0315元。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79.00%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7.47%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13.53%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XTDKX202504230001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粤财信托·瑞兴201号集合资金信托计划（第2期）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300,534,258.00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华安基金-宁利1号集合资产管理计划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100,528,489.48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XTDKX202504210001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重庆信托·淮安发展5号集合资金信托计划（第1期）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100,215,945.00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ZJQTT202506230004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申万宏源宁睿新享1号集合资产管理计划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50,090,509.19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46,600,929.10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HHQTT202405290002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36,584,949.08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35,510,052.99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2080043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20泰信债01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31,104,480.00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001231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银华泰利灵活配置混合A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30,332,018.95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159792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互联网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18,546,000.00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徐州金龙湖控股集团有限公司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粤财信托·瑞兴201号集合资金信托计划（第2期）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江苏新睿城市发展集团有限公司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重庆信托·淮安发展5号集合资金信托计划（第1期）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0120090000000258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南京银行致远1902一年定开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产品支付关联方托管费43,180.71元，支付关联方代销费645,091.65元。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