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南银理财珠联璧合致远一年定开5M公募人民币理财产品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南银理财珠联璧合致远一年定开5M公募人民币理财产品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2018年05月18日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372,388,177.00份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庚基金管理有限公司,中欧基金管理有限公司,华夏基金管理有限公司,华安基金管理有限公司,大成基金管理有限公司,富国基金管理有限公司,广东粤财信托有限公司,鑫元基金管理有限公司,鑫沅资产管理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380,740,297.86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1.3501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Z10013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截至报告期末，本产品份额净值为1.0224元。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83.36%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6.97%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中信信托·兴邦100号固定收益类信托计划第1期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100,185,451.00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50,065,729.00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35,352,276.91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31,716,913.23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XTDKX202507030022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中信信托·兴邦102号固定收益类信托计划（第2期）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30,032,597.10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032380566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23泉山国资PPN001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20,212,120.00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18,038,161.26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15,647,557.19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11,554,241.54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102383381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23津城建MTN017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10,166,120.00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中信信托·兴邦102号固定收益类信托计划（第2期）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盐城市盐都区国有资产控股集团有限公司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中信信托·兴邦100号固定收益类信托计划第1期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粤财信托·瑞兴226号集合资金信托计划（第1期）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0120040000000227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南京银行致远一年定开5M</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产品支付关联方托管费18,833.83元，支付关联方代销费291,374.92元。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