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南银理财珠联璧合致远一年定开3M公募人民币理财产品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南银理财珠联璧合致远一年定开3M公募人民币理财产品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2018年03月20日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658,739,395.00份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庚基金管理有限公司,华夏基金管理有限公司,华安基金管理有限公司,博时基金管理有限公司,嘉实基金管理有限公司,大成基金管理有限公司,富国基金管理有限公司,广东粤财信托有限公司,鑫沅资产管理有限公司,银华基金管理股份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678,055,544.09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1.3701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81.13%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7.78%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11.09%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90,190,674.90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89,347,428.52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中信信托·兴邦99号固定收益类信托计划（第1期）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80,182,349.60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XTDKX202505270024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50,115,288.50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XTDKX202505200022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中信信托·兴邦98号固定收益类信托计划（第1期）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50,110,792.00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TYJKX202505280023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同业借款（长城资产）20250001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50,028,186.00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49,909,042.36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40,085,466.73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27,370,894.87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22,862,394.99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泰州市凯明城市建设有限公司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中信信托·兴邦99号固定收益类信托计划（第1期）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中信信托·兴邦98号固定收益类信托计划（第1期）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中国长城资产管理股份有限公司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同业借款（长城资产）20250001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0120020000000228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南京银行致远一年定开3M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产品支付关联方托管费33,531.12元，支付关联方代销费507,764.76元。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