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南银理财创鑫财富牛3号公募人民币理财产品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南银理财创鑫财富牛3号公募人民币理财产品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Z7003220000006（投资者可依据该编码在中国理财网www.chinawealth.com.cn查询理财产品相关信息）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2017年11月30日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981,290,414.68份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华夏基金管理有限公司,华泰资产管理有限公司,国投泰康信托有限公司,天弘基金管理有限公司,富国基金管理有限公司,广发基金管理有限公司,招商基金管理有限公司,鑫元基金管理有限公司,鑫沅资产管理有限公司,易方达基金管理有限公司,南方基金管理股份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Z10008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983,093,233.86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1.3291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Z10008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随着关税冲突暂缓后，四季度市场逐步聚焦国内基本面情况以及对明年经济增速预期，股债市场整体有所回归收敛。债券市场方面，国内经济数据边际走弱，10年国债利率小幅下行至1.86%，信用债也跟随修复。权益市场方面，经历三季度快速上涨后，市场存在止盈获利需求，股指呈现震荡调整。整体而言，四季度股债市场表现有所收敛。</w:t>
        <w:br w:type="textWrapping" w:clear="all"/>
      </w:r>
      <w:r>
        <w:rPr>
          <w:rFonts w:hint="eastAsia" w:ascii="方正仿宋简体" w:eastAsia="方正仿宋简体"/>
          <w:sz w:val="24"/>
          <w:szCs w:val="24"/>
        </w:rPr>
        <w:t>  展望明年，债市方面，经济修复斜率仍存压力，四季度地产等高频数据整体仍偏弱，经济内生需求尚需考证，随着利率曲线调整走陡后，债市逐步回归合理定价区间，利率单边反转风险相对可控。权益方面，目前大类资产比价来看，含权资产长期来看仍有望获取高于纯债的收益回报，叠加机构资金持续流入趋势未变，整体仍相对看好两会前夕的春季躁动行情，重点关注长期具备绝对收益吸引力的红利板块、政策鼓励刺激的内需方向和自立自强科技板块。</w:t>
        <w:br w:type="textWrapping" w:clear="all"/>
      </w:r>
      <w:r>
        <w:rPr>
          <w:rFonts w:hint="eastAsia" w:ascii="方正仿宋简体" w:eastAsia="方正仿宋简体"/>
          <w:sz w:val="24"/>
          <w:szCs w:val="24"/>
        </w:rPr>
        <w:t>  本产品在运作期内我们积极根据市场变化动态调整杠杆、久期策略和权益仓位，产品层面保持大类资产配置策略。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  本产品主要投向具有良好流动性的金融工具，并对标的进行分散化投资，防范流动性风险。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截至报告期末，本产品份额净值为1.0018元。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91.80%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8.20%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121,398,580.31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102485243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24海通恒信MTN004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50,297,450.00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50,102,782.75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242580028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25网商银行永续债01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49,678,150.00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景顺长城南景悦享1号集合资产管理计划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41,177,755.05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33,282,190.85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253326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23瀚控08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30,561,540.00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30,486,767.68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254245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24滨海01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30,414,270.00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032580116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25江阴城发PPN001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30,126,780.00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0120080000000287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南京银行创鑫财富牛3号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产品投资关联方作为管理人的资产管理产品交易金额40,000,000.00元。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产品支付关联方托管费54,777.26元，支付关联方代销费825,459.31元。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