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南银理财增瑞明远个股精选（最低持有371天）1号公募人民币理财产品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南银理财增瑞明远个股精选（最低持有371天）1号公募人民币理财产品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Z7003225000080（投资者可依据该编码在中国理财网www.chinawealth.com.cn查询理财产品相关信息）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2025年04月09日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127,393,263.89份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中信信托有限责任公司,华安基金管理有限公司,鑫沅资产管理有限公司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Z03001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132,359,388.99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1.038982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1.038982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Z03001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0.57%</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在债券和股票资产，全年保持了较高的固收类资产配置比例，权益类资产保持较高仓位，主要配置了新能源、周期、港股互联网和泛AI产业。考虑到政策和经济的中期预期有望逐步改善，未来保持相对较高的权益仓位。</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截至报告期末，本产品份额净值为1.038982元。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89.90%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10.10%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42,666,711.92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38,440,386.23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21,743,934.40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000333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美的集团</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1,563,000.00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阿里巴巴－Ｗ</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1,255,857.46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宁德时代</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1,248,684.00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688234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天岳先进</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600031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三一重工</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002444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巨星科技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952,560.00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601138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工业富联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930,750.00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0101090000001443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南银理财增瑞明远个股精选最低持有371天1号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产品支付关联方托管费4,611.10元，支付关联方代销费28,192.92元。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