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南银理财增瑞安远多资产（最低持有28天）1号公募人民币理财产品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南银理财增瑞安远多资产（最低持有28天）1号公募人民币理财产品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Z7003225000011（投资者可依据该编码在中国理财网www.chinawealth.com.cn查询理财产品相关信息）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999,693,068.94份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中信信托有限责任公司,中欧基金管理有限公司,华夏基金管理有限公司,华安基金管理有限公司,华宝基金管理有限公司,博时基金管理有限公司,大成基金管理有限公司,富国基金管理有限公司,广发基金管理有限公司,招商基金管理有限公司,鑫沅资产管理有限公司,中信建投证券股份有限公司,华泰柏瑞基金管理有限公司,景顺长城基金管理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Z01003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1,026,530,204.73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1.026845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1.026845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  商品方面，美元信用弱化叙事未发生实质性变化，全球央行购金趋势总体延续，金价中长期预计仍有较大的上行空间，铜受益于AI等新兴产业带动的新增需求，同时供给端出现扰动，铜价中枢有望逐步抬升。</w:t>
        <w:br w:type="textWrapping" w:clear="all"/>
      </w:r>
      <w:r>
        <w:rPr>
          <w:rFonts w:hint="eastAsia" w:ascii="方正仿宋简体" w:eastAsia="方正仿宋简体"/>
          <w:sz w:val="24"/>
          <w:szCs w:val="24"/>
        </w:rPr>
        <w:t>  我们在产品端将继续坚持以稳为主、稳中求进的整体思路，通过多资产策略，在波动可控的前提下，力争为持有人获得满意的投资收益。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截至报告期末，本产品份额净值为1.026845元。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91.70%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5.09%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3.21%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326,434,139.83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216,715,906.56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133,705,933.18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122,846,756.93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100,676,277.78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11,503,729.47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黄金9999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10,887,858.00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511130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国债30年</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10,326,703.50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021277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广发全球精选股票(QDII)人民币C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8,061,329.22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513770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港股互联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7,058,400.00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0101090000001344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南银理财增瑞安远多资产最低持有28天1号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产品投资关联方作为管理人的资产管理产品交易金额53,020,930.60元。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产品支付关联方托管费65,919.56元，支付关联方代销费283,356.41元。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