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南银理财增瑞安远灵活增强（最低持有45天）1号公募人民币理财产品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南银理财增瑞安远灵活增强（最低持有45天）1号公募人民币理财产品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Z7003225000014（投资者可依据该编码在中国理财网www.chinawealth.com.cn查询理财产品相关信息）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2025年01月15日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139,786,442.00份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信期货有限公司,上海东证期货有限公司,中信信托有限责任公司,华安基金管理有限公司,富国基金管理有限公司,鑫沅资产管理有限公司,南方基金管理股份有限公司,摩根基金管理(中国)有限公司,申万宏源证券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Z01002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143,211,085.18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1.024499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1.024499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固收方面，2025年债市收益率总体震荡上行，短端表现相对较好。虽然从全年维度来看，流动性层面央行态度整体维持宽松，经济基本面角度货币和信贷周期、物价因子修复速率呈现前高后低的态势，但是债市对2024年利率快速下行“透支”行情的修正较为持续，特别是一季度的央行公开市场投放持续偏紧和下半年的债基销售规则、税费改革等负面事件压制债市，长久期资产受到负债端扰动更加明显，10年国债到期收益率最大上行30BP左右。目前来看，后期央行延续流动性宽松的确定性较高，降准预期有所升温，负债端扰动可能亦接近尾声，判断债市在2026年将逐步迎来行情机会，预计“短端好于长端、配置优于交易”的市场特征仍会有一定持续性，在曲线走陡，利差改善的趋势中，我们总体维持偏中性观点，对配置机会的把握相对波段交易会更加积极，短期关注套息空间变化和信贷开门红情况。</w:t>
        <w:br w:type="textWrapping" w:clear="all"/>
      </w:r>
      <w:r>
        <w:rPr>
          <w:rFonts w:hint="eastAsia" w:ascii="方正仿宋简体" w:eastAsia="方正仿宋简体"/>
          <w:sz w:val="24"/>
          <w:szCs w:val="24"/>
        </w:rPr>
        <w:t>  权益方面，2025年A/H股在政策与流动性双重驱动下走出结构性牛市，资源与科技成为贯穿全年的上涨主线。美联储重启降息改善全球流动性，美元走弱提振大宗商品价格，同时AI商业化加速推动科技方向景气持续上行。展望2026年，我们认为指数慢牛行情仍可期待，主要支撑来自三方面；其一，流动性环境依然友好，当前股债收益差处于历史均值以下，人民币升值预期与全球估值比较优势下，国内资金配置与外资回流均有空间；其二，经济基本面修复动能增强，企业盈利有望在地产拖累减弱、海外盈利持续增长、以及反内卷政策引导下重回上行周期；其三，政策与改革红利延续，“十五五”开局之年产业政策预计积极发力，资本市场改革持续推进，亦有助于支撑市场风险偏好。整体上，预计全球流动性环境保持宽松，国内财政货币政策协同托底，若企业盈利如期改善、汇率稳定，外资回流可能加速，港股弹性或更突出，风险方面关注地产修复、地方化债及地缘局势等因素。</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  产品持仓中维持合理比例高流动性资产，提前做好关键时点资金储备，流动性状况较好。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截至报告期末，本产品份额净值为1.024499元。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87.09%</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89.85%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4.22%</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8.69%</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ZJQTT202506230004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申万宏源宁睿新享1号集合资产管理计划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31,922,455.01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22.29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ZJQTT202502270021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中信信托信宁添利1号证券投资集合资金信托计划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29,860,765.54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20.85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华安基金-宁利1号集合资产管理计划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22,410,399.30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15.65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20,678,231.09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14.44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17,653,542.96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HHQTT202201100001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中信期货宁宽1号集合资产管理计划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6,009,553.41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HHQTT202304260001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中信期货宁稳1号集合资产管理计划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4,527,748.82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159792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互联网</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1,873,146.00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515450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红利50</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1,765,260.00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518880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黄金ETF</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1,255,635.00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0.88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0101020000001352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南银理财增瑞安远灵活增强最低持有45天1号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产品支付关联方托管费23,360.57元，支付关联方代销费137,661.60元。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