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南银理财鼎瑞安心三年10期公募封闭式人民币理财产品</w:t>
      </w: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2025年第4季度报告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rPr>
          <w:rFonts w:ascii="方正黑体简体" w:eastAsia="方正黑体简体"/>
          <w:sz w:val="36"/>
          <w:szCs w:val="36"/>
        </w:rPr>
      </w:pPr>
    </w:p>
    <w:p>
      <w:pPr>
        <w:spacing w:before="240" w:after="72" w:line="360" w:lineRule="auto"/>
        <w:rPr>
          <w:rFonts w:ascii="方正黑体简体" w:eastAsia="方正黑体简体"/>
          <w:sz w:val="36"/>
          <w:szCs w:val="36"/>
        </w:rPr>
      </w:pPr>
    </w:p>
    <w:p>
      <w:pPr>
        <w:widowControl/>
        <w:spacing w:before="240" w:afterLines="0" w:line="360" w:lineRule="auto"/>
        <w:jc w:val="left"/>
        <w:rPr>
          <w:rFonts w:ascii="方正仿宋_GBK" w:hAnsi="Calibri" w:eastAsia="方正仿宋_GBK"/>
          <w:b/>
        </w:rPr>
      </w:pPr>
      <w:r>
        <w:rPr>
          <w:rFonts w:ascii="方正仿宋_GBK" w:hAnsi="Calibri" w:eastAsia="方正仿宋_GBK"/>
          <w:b/>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5"/>
        <w:tblpPr w:leftFromText="180" w:rightFromText="180" w:vertAnchor="text" w:tblpY="1"/>
        <w:tblOverlap w:val="never"/>
        <w:tblW w:w="889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19"/>
        <w:gridCol w:w="61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产品全称</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南银理财鼎瑞安心三年10期公募封闭式人民币理财产品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0"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产品登记编码</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Z7003225000283（投资者可依据该编码在中国理财网www.chinawealth.com.cn查询理财产品相关信息）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产品运作方式</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封闭式净值型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产品成立日</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2025年08月27日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报告期末产品份额总额</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17,205,413.00份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8"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合作机构</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中粮信托有限责任公司,广东粤财信托有限公司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产品管理人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产品托管人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5"/>
        <w:tblpPr w:leftFromText="180" w:rightFromText="180" w:vertAnchor="text" w:tblpXSpec="center" w:tblpY="1"/>
        <w:tblOverlap w:val="never"/>
        <w:tblW w:w="90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1838"/>
        <w:gridCol w:w="2693"/>
        <w:gridCol w:w="2410"/>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jc w:val="center"/>
        </w:trPr>
        <w:tc>
          <w:tcPr>
            <w:tcW w:w="1838" w:type="dxa"/>
            <w:vMerge w:val="restart"/>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7229" w:type="dxa"/>
            <w:gridSpan w:val="3"/>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报告期（2025年10月01日 - 2025年12月31日）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7" w:hRule="atLeast"/>
          <w:jc w:val="center"/>
        </w:trPr>
        <w:tc>
          <w:tcPr>
            <w:tcW w:w="1838" w:type="dxa"/>
            <w:vMerge w:val="continue"/>
            <w:vAlign w:val="center"/>
          </w:tcPr>
          <w:p>
            <w:pPr>
              <w:spacing w:before="48" w:beforeLines="20" w:after="48" w:afterLines="20"/>
              <w:jc w:val="center"/>
              <w:rPr>
                <w:rFonts w:ascii="方正仿宋简体" w:eastAsia="方正仿宋简体"/>
                <w:sz w:val="24"/>
                <w:szCs w:val="24"/>
              </w:rPr>
            </w:pPr>
          </w:p>
        </w:tc>
        <w:tc>
          <w:tcPr>
            <w:tcW w:w="269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41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12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AX30010</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17,413,194.61</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1.0120</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1.0120</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AX31010</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10.11</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1.0110</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1.0110</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债券方面，四季度债市利空因素边际缓解，基金销售费率新规影响下机构赎回边际放缓，央行重启国债买卖，机构博弈利差压缩收益，信用债配置情绪整体有所修复，年末万科债券展期，重要会议释放货币宽松信号，央行呵护跨年资金面，但超长债供给时有扰动，信用债收益率窄幅波动，利差主动走阔后维持震荡。展望一季度，当前市场的交易叙事仍然是有利于风险资产而不利于债券。美国经济走强、降息预期后移、中美元首会晤，全球风险偏好均有抬升，市场对“春季躁动”行情的预期极其一致。考虑到1月下旬会迎来一波地方债的供给高峰，保险分红险占比提升导致配置力量缺位，市场对久期的偏好预计仍维持在较低的水平。判断市场压力的充分释放可能要看到供给冲击交易结束和相关利差的充分走阔。操作上，抓住调整窗口积极进行票息布局。</w:t>
        <w:br w:type="textWrapping" w:clear="all"/>
      </w:r>
      <w:r>
        <w:rPr>
          <w:rFonts w:hint="eastAsia" w:ascii="方正仿宋简体" w:eastAsia="方正仿宋简体"/>
          <w:sz w:val="24"/>
          <w:szCs w:val="24"/>
        </w:rPr>
        <w:t>  产品始终围绕稳健回报的收益目标进行操作，通过持有信用资质较好、绝对收益相对较高的信用债作为底仓，获取稳定可靠的票息收益。</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  本产品是封闭式产品，运作稳健，始终坚持谨慎的流动性管理原则，在报告期内，严格匹配资产久期与产品封闭周期。下阶段，产品将继续维持合理的流动性资产比例，做好负债端现金流的跟踪与研判。</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截至报告期末，本产品AX30010份额净值为1.0120元，AX31010份额净值为1.0110元。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5"/>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5"/>
        <w:tblpPr w:leftFromText="180" w:rightFromText="180" w:vertAnchor="text" w:tblpXSpec="center" w:tblpY="1"/>
        <w:tblOverlap w:val="never"/>
        <w:tblW w:w="89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ZJQTT202308180021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中粮信托鼎兴1号集合资金信托计划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8,800,383.00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50.54</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XTDKX202509180003</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粤财信托·慧金科技205-19号集合资金信托计划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8,552,020.00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49.11</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5"/>
        <w:tblpPr w:leftFromText="180" w:rightFromText="180" w:vertAnchor="text" w:tblpXSpec="center" w:tblpY="1"/>
        <w:tblOverlap w:val="never"/>
        <w:tblW w:w="89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77"/>
        <w:gridCol w:w="1704"/>
        <w:gridCol w:w="1275"/>
        <w:gridCol w:w="1540"/>
        <w:gridCol w:w="1383"/>
        <w:gridCol w:w="1271"/>
        <w:gridCol w:w="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8" w:hRule="atLeast"/>
          <w:jc w:val="center"/>
        </w:trPr>
        <w:tc>
          <w:tcPr>
            <w:tcW w:w="87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704"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75"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4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87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安一恒通(北京)科技有限公司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粤财信托·慧金科技205-19号集合资金信托计划</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596</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不规则付息</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正常</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5"/>
        <w:tblpPr w:leftFromText="180" w:rightFromText="180" w:vertAnchor="text" w:tblpXSpec="center" w:tblpY="1"/>
        <w:tblOverlap w:val="never"/>
        <w:tblW w:w="89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46"/>
        <w:gridCol w:w="141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84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41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84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0101060000001699</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南银理财鼎瑞安心三年10期</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afterLines="0"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产品投资于关联方作为融资人的非标准化债权类资产业务交易金额0.00元。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产品支付关联方托管费0.00元，支付关联方代销费1,369.17元。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产品发生其他关联交易金额0.00元。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_GBK" w:eastAsia="方正仿宋_GBK"/>
          <w:sz w:val="24"/>
          <w:szCs w:val="24"/>
        </w:rPr>
      </w:pPr>
      <w:r>
        <w:rPr>
          <w:rFonts w:hint="eastAsia" w:ascii="方正仿宋简体" w:eastAsia="方正仿宋简体"/>
          <w:b/>
          <w:sz w:val="24"/>
          <w:szCs w:val="24"/>
        </w:rPr>
        <w:t>2025年12月31日</w:t>
      </w:r>
      <w:bookmarkStart w:id="0" w:name="_GoBack"/>
      <w:bookmarkEnd w:id="0"/>
    </w:p>
    <w:sectPr>
      <w:headerReference r:id="rId6" w:type="first"/>
      <w:footerReference r:id="rId9" w:type="first"/>
      <w:headerReference r:id="rId4" w:type="default"/>
      <w:footerReference r:id="rId7" w:type="default"/>
      <w:headerReference r:id="rId5" w:type="even"/>
      <w:footerReference r:id="rId8"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黑体简体">
    <w:panose1 w:val="03000509000000000000"/>
    <w:charset w:val="86"/>
    <w:family w:val="script"/>
    <w:pitch w:val="default"/>
    <w:sig w:usb0="00000001" w:usb1="080E0000" w:usb2="00000000" w:usb3="00000000" w:csb0="00040000" w:csb1="00000000"/>
  </w:font>
  <w:font w:name="方正仿宋简体">
    <w:panose1 w:val="03000509000000000000"/>
    <w:charset w:val="86"/>
    <w:family w:val="script"/>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7"/>
      </w:rPr>
    </w:pPr>
    <w:r>
      <w:fldChar w:fldCharType="begin"/>
    </w:r>
    <w:r>
      <w:rPr>
        <w:rStyle w:val="7"/>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49AA3EC1"/>
    <w:rsid w:val="57DD4EC8"/>
    <w:rsid w:val="611546EB"/>
    <w:rsid w:val="6C686480"/>
    <w:rsid w:val="6DBF574D"/>
    <w:rsid w:val="7DD408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Lines="30"/>
      <w:jc w:val="both"/>
    </w:pPr>
    <w:rPr>
      <w:rFonts w:ascii="Times New Roman" w:hAnsi="Times New Roman" w:eastAsia="宋体" w:cs="Times New Roman"/>
      <w:kern w:val="2"/>
      <w:sz w:val="21"/>
      <w:szCs w:val="22"/>
      <w:lang w:val="en-US" w:eastAsia="zh-CN" w:bidi="ar-SA"/>
    </w:rPr>
  </w:style>
  <w:style w:type="character" w:default="1" w:styleId="6">
    <w:name w:val="Default Paragraph Font"/>
    <w:unhideWhenUsed/>
    <w:uiPriority w:val="1"/>
  </w:style>
  <w:style w:type="table" w:default="1" w:styleId="5">
    <w:name w:val="Normal Table"/>
    <w:unhideWhenUsed/>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kern w:val="0"/>
      <w:sz w:val="24"/>
      <w:szCs w:val="24"/>
    </w:rPr>
  </w:style>
  <w:style w:type="character" w:styleId="7">
    <w:name w:val="page number"/>
    <w:basedOn w:val="6"/>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6"/>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1">
    <w:name w:val="zhangjie_p2"/>
    <w:basedOn w:val="1"/>
    <w:qFormat/>
    <w:uiPriority w:val="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12">
    <w:name w:val="biaoge_center"/>
    <w:basedOn w:val="1"/>
    <w:qFormat/>
    <w:uiPriority w:val="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7">
    <w:name w:val="zhangjie_p"/>
    <w:basedOn w:val="1"/>
    <w:qFormat/>
    <w:uiPriority w:val="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6"/>
    <w:link w:val="3"/>
    <w:qFormat/>
    <w:uiPriority w:val="99"/>
    <w:rPr>
      <w:rFonts w:ascii="Times New Roman" w:hAnsi="Times New Roman" w:eastAsia="宋体" w:cs="Times New Roman"/>
      <w:sz w:val="18"/>
      <w:szCs w:val="18"/>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theme/theme1.xml" Type="http://schemas.openxmlformats.org/officeDocument/2006/relationships/theme"/><Relationship Id="rId11" Target="fontTable.xml" Type="http://schemas.openxmlformats.org/officeDocument/2006/relationships/fontTable"/><Relationship Id="rId2" Target="settings.xml" Type="http://schemas.openxmlformats.org/officeDocument/2006/relationships/settings"/><Relationship Id="rId3" Target="footnotes.xml" Type="http://schemas.openxmlformats.org/officeDocument/2006/relationships/footnotes"/><Relationship Id="rId4" Target="header1.xml" Type="http://schemas.openxmlformats.org/officeDocument/2006/relationships/header"/><Relationship Id="rId5" Target="header2.xml" Type="http://schemas.openxmlformats.org/officeDocument/2006/relationships/header"/><Relationship Id="rId6" Target="header3.xml" Type="http://schemas.openxmlformats.org/officeDocument/2006/relationships/header"/><Relationship Id="rId7" Target="footer1.xml" Type="http://schemas.openxmlformats.org/officeDocument/2006/relationships/footer"/><Relationship Id="rId8" Target="footer2.xml" Type="http://schemas.openxmlformats.org/officeDocument/2006/relationships/footer"/><Relationship Id="rId9" Target="footer3.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cc</Company>
  <Pages>6</Pages>
  <Words>315</Words>
  <Characters>1797</Characters>
  <Lines>14</Lines>
  <Paragraphs>4</Paragraphs>
  <TotalTime>0</TotalTime>
  <ScaleCrop>false</ScaleCrop>
  <LinksUpToDate>false</LinksUpToDate>
  <CharactersWithSpaces>2108</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h04vdi1428</cp:lastModifiedBy>
  <dcterms:modified xsi:type="dcterms:W3CDTF">2025-09-04T00:54:56Z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ICV">
    <vt:lpwstr>65B57D7BDF384424A76A3B84B5FDE380</vt:lpwstr>
  </property>
</Properties>
</file>