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南银理财鼎瑞安心三年6期公募封闭式人民币理财产品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南银理财鼎瑞安心三年6期公募封闭式人民币理财产品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Z7003225000247（投资者可依据该编码在中国理财网www.chinawealth.com.cn查询理财产品相关信息）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2025年07月30日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16,117,551.00份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中粮信托有限责任公司,广东粤财信托有限公司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AX30006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16,367,286.63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w:t>
        <w:br w:type="textWrapping" w:clear="all"/>
      </w:r>
      <w:r>
        <w:rPr>
          <w:rFonts w:hint="eastAsia" w:ascii="方正仿宋简体" w:eastAsia="方正仿宋简体"/>
          <w:sz w:val="24"/>
          <w:szCs w:val="24"/>
        </w:rPr>
        <w:t>  产品始终围绕稳健回报的收益目标进行操作，通过持有信用资质较好、绝对收益相对较高的信用债作为底仓，获取稳定可靠的票息收益。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截至报告期末，本产品AX30006份额净值为1.0154元。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8,400,365.59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XTDKX202508210001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粤财信托·慧金科技205-18号集合资金信托计划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7,981,844.00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48.77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安一恒通(北京)科技有限公司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粤财信托·慧金科技205-18号集合资金信托计划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0101070000001651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南银理财鼎瑞安心三年6期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产品支付关联方托管费0.00元，支付关联方代销费2,524.63元。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