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南银理财鼎瑞悦稳安鑫日开1期开放式公募人民币理财产品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南银理财鼎瑞悦稳安鑫日开1期开放式公募人民币理财产品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Z7003225000175（投资者可依据该编码在中国理财网www.chinawealth.com.cn查询理财产品相关信息）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2025年06月25日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2,300,807,227.69份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紫金信托有限责任公司,江苏省国际信托有限责任公司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AA50001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2,324,270,128.61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1.010197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1.010197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本产品为短期产品，坚持稳健配置的管理思路，精选银行存款、同业存单、债券回购为主要配置资产，小仓位参与短久期高等级信用债，兼顾收益与流动性。下一阶段，本产品操作上将积极参与存款等估值免疫类资产，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  本产品持仓资产以同业存款和存单为主，在持仓中维持合理比例高流动性资产，产品流动性状况较好。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截至报告期末，本产品AA50001份额净值为1.010197元。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1,560,920,455.79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452,855,977.89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190,469,492.63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97,083,061.47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0101080000001575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南银理财鼎瑞悦稳安鑫日开1期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产品投资关联方作为管理人的资产管理产品交易金额3,696,000,000.00元。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产品支付关联方托管费104,919.99元，支付关联方代销费43,507.44元。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