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南银理财鼎瑞悦稳红利（最低持有1092天）公募人民币理财产品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南银理财鼎瑞悦稳红利（最低持有1092天）公募人民币理财产品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1,010,874,215.32份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A34001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994,060,700.52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1.072979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A34003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12,042,069.18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1.006184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1.067239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A34004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11,818,266.48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1.007043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1.066452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  操作方面，坚持稳健运作的投资理念，对于利差保护较足的信用资产积极配置，同时关注交易活跃品种的波段机会，结合收益率水平做好久期与杠杆管理，获取稳健的投资回报。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截至报告期末，本产品A34001份额净值为1.006979元，A34003份额净值为1.006184元，A34004份额净值为1.007043元。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95.02%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4.98%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645,112,183.17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256242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24通投03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52,128,300.00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256265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24清浦02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46,508,400.00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102583563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25江苏新投MTN002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40,305,440.00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102583920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25高淳经开MTN002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30,182,820.00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280070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25建城02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30,103,830.00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032580648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25联环药业PPN001(科创债)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30,026,040.00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259103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25东城01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29,747,040.00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032580645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25徐州高新PPN003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20,074,160.00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259989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25云港Y4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20,060,520.00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0101060000000826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南京银行南京分行南银理财鼎瑞悦稳红利最低持有1092天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产品投资于关联方承销的证券交易金额49,994,175.34元。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产品支付关联方托管费50,790.45元，支付关联方代销费257,007.45元。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