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南银理财鼎瑞悦稳灵活分红（最低持有371天）1号公募人民币理财产品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南银理财鼎瑞悦稳灵活分红（最低持有371天）1号公募人民币理财产品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Z7003224000289（投资者可依据该编码在中国理财网www.chinawealth.com.cn查询理财产品相关信息）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5,152,055,368.95份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中粮信托有限责任公司,中诚信托有限责任公司,华鑫证券有限责任公司,国投泰康信托有限公司,国联基金管理有限公司,招商基金管理有限公司,陆家嘴国际信托有限公司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4,725,036,638.30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1.014530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1.033630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504,393,453.98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1.019607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截至报告期末，本产品A33004份额净值为1.014530元，A33006份额净值为1.019607元。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99.23%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0.77%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799,777,210.69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651,380,415.47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606,191,673.68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416,691,277.30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173,723,836.20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255873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24沛兴01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91,076,040.00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24长开G2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81,157,200.00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253472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23璧山02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71,173,130.00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254859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24渝枢01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60,508,920.00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0101030000001318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南京银行南京分行南银理财鼎瑞悦稳灵活分红最低持有371天1号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产品投资于关联方承销的证券交易金额50,002,479.45元。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产品支付关联方托管费242,978.55元，支付关联方代销费1,982,920.65元。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