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南银理财鼎瑞悦稳（最低持有28天）6号公募人民币理财产品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南银理财鼎瑞悦稳（最低持有28天）6号公募人民币理财产品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55,972,821.98份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56,759,635.25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1.033998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206,600.91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206,600.91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200,965.52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501,969.72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1.033859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1.033859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截至报告期末，本产品A32087份额净值为1.033998元，A32097份额净值为1.033999元，A32106份额净值为1.033999元，A32131份额净值为1.034000元，A32133份额净值为1.033859元。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35,003,307.23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15,611,959.82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7,201,461.25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0101050000001609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南银理财鼎瑞悦稳最低持有28天6号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产品支付关联方托管费870.46元，支付关联方代销费338.78元。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