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南银理财鼎瑞悦稳（最低持有91天）4号公募人民币理财产品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南银理财鼎瑞悦稳（最低持有91天）4号公募人民币理财产品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73,735,628.37份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73,372,686.97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1.025660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1,025,254.99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1.025665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1,025,254.99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1.025665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204,526.48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1.025662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1.025662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截至报告期末，本产品A32083份额净值为1.025660元，A32084份额净值为1.025665元，A32100份额净值为1.025665元，A32118份额净值为1.025662元。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69,564,575.57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3,939,339.74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1,909,861.20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0101080000001617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南银理财鼎瑞悦稳最低持有91天4号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产品支付关联方托管费2,479.01元，支付关联方代销费647.13元。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