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92EBE" w14:textId="2C37F684" w:rsidR="00DA6D08" w:rsidRDefault="00131E1F">
      <w:pPr>
        <w:jc w:val="left"/>
        <w:rPr>
          <w:rFonts w:ascii="宋体" w:eastAsia="宋体" w:hAnsi="宋体" w:cs="宋体"/>
          <w:b/>
          <w:bCs/>
          <w:kern w:val="0"/>
          <w:sz w:val="32"/>
          <w:szCs w:val="32"/>
        </w:rPr>
      </w:pPr>
      <w:r w:rsidRPr="00131E1F">
        <w:rPr>
          <w:rFonts w:ascii="宋体" w:eastAsia="宋体" w:hAnsi="宋体" w:cs="宋体" w:hint="eastAsia"/>
          <w:b/>
          <w:bCs/>
          <w:kern w:val="0"/>
          <w:sz w:val="32"/>
          <w:szCs w:val="32"/>
        </w:rPr>
        <w:t>关于光大理财阳光碧乐活</w:t>
      </w:r>
      <w:r w:rsidRPr="00131E1F">
        <w:rPr>
          <w:rFonts w:ascii="宋体" w:eastAsia="宋体" w:hAnsi="宋体" w:cs="宋体"/>
          <w:b/>
          <w:bCs/>
          <w:kern w:val="0"/>
          <w:sz w:val="32"/>
          <w:szCs w:val="32"/>
        </w:rPr>
        <w:t>81号理财产品说明书调整的公告</w:t>
      </w:r>
    </w:p>
    <w:p w14:paraId="600CA555" w14:textId="77777777" w:rsidR="00131E1F" w:rsidRPr="00131E1F" w:rsidRDefault="00131E1F" w:rsidP="00131E1F">
      <w:pPr>
        <w:pStyle w:val="2"/>
        <w:rPr>
          <w:rFonts w:hint="eastAsia"/>
        </w:rPr>
      </w:pPr>
    </w:p>
    <w:p w14:paraId="3782DA8F" w14:textId="77777777" w:rsidR="00DA6D08" w:rsidRDefault="00000000">
      <w:pPr>
        <w:widowControl/>
        <w:jc w:val="left"/>
        <w:rPr>
          <w:rFonts w:ascii="仿宋" w:eastAsia="仿宋" w:hAnsi="仿宋" w:cs="仿宋"/>
          <w:sz w:val="28"/>
          <w:szCs w:val="28"/>
        </w:rPr>
      </w:pPr>
      <w:r>
        <w:rPr>
          <w:rFonts w:ascii="仿宋" w:eastAsia="仿宋" w:hAnsi="仿宋" w:cs="仿宋" w:hint="eastAsia"/>
          <w:sz w:val="28"/>
          <w:szCs w:val="28"/>
        </w:rPr>
        <w:t>尊敬的投资者：</w:t>
      </w:r>
    </w:p>
    <w:p w14:paraId="7D6C0C8B" w14:textId="40C34E67" w:rsidR="00DA6D08" w:rsidRDefault="00000000" w:rsidP="007E075E">
      <w:pPr>
        <w:widowControl/>
        <w:ind w:firstLineChars="200" w:firstLine="560"/>
        <w:rPr>
          <w:rFonts w:ascii="仿宋" w:eastAsia="仿宋" w:hAnsi="仿宋" w:cs="仿宋"/>
          <w:sz w:val="28"/>
          <w:szCs w:val="28"/>
        </w:rPr>
      </w:pPr>
      <w:r>
        <w:rPr>
          <w:rFonts w:ascii="仿宋" w:eastAsia="仿宋" w:hAnsi="仿宋" w:cs="仿宋" w:hint="eastAsia"/>
          <w:sz w:val="28"/>
          <w:szCs w:val="28"/>
        </w:rPr>
        <w:t>根据产品说明书约定及当前市场情况，公司将于2024年</w:t>
      </w:r>
      <w:r w:rsidR="00645900">
        <w:rPr>
          <w:rFonts w:ascii="仿宋" w:eastAsia="仿宋" w:hAnsi="仿宋" w:cs="仿宋" w:hint="eastAsia"/>
          <w:sz w:val="28"/>
          <w:szCs w:val="28"/>
        </w:rPr>
        <w:t>3</w:t>
      </w:r>
      <w:r>
        <w:rPr>
          <w:rFonts w:ascii="仿宋" w:eastAsia="仿宋" w:hAnsi="仿宋" w:cs="仿宋" w:hint="eastAsia"/>
          <w:sz w:val="28"/>
          <w:szCs w:val="28"/>
        </w:rPr>
        <w:t>月2</w:t>
      </w:r>
      <w:r w:rsidR="00645900">
        <w:rPr>
          <w:rFonts w:ascii="仿宋" w:eastAsia="仿宋" w:hAnsi="仿宋" w:cs="仿宋" w:hint="eastAsia"/>
          <w:sz w:val="28"/>
          <w:szCs w:val="28"/>
        </w:rPr>
        <w:t>2</w:t>
      </w:r>
      <w:r>
        <w:rPr>
          <w:rFonts w:ascii="仿宋" w:eastAsia="仿宋" w:hAnsi="仿宋" w:cs="仿宋" w:hint="eastAsia"/>
          <w:sz w:val="28"/>
          <w:szCs w:val="28"/>
        </w:rPr>
        <w:t>日起（含）调整</w:t>
      </w:r>
      <w:r w:rsidR="007E075E" w:rsidRPr="007E075E">
        <w:rPr>
          <w:rFonts w:ascii="仿宋" w:eastAsia="仿宋" w:hAnsi="仿宋" w:cs="仿宋" w:hint="eastAsia"/>
          <w:sz w:val="28"/>
          <w:szCs w:val="28"/>
        </w:rPr>
        <w:t>阳光碧乐活</w:t>
      </w:r>
      <w:r w:rsidR="00470091">
        <w:rPr>
          <w:rFonts w:ascii="仿宋" w:eastAsia="仿宋" w:hAnsi="仿宋" w:cs="仿宋" w:hint="eastAsia"/>
          <w:sz w:val="28"/>
          <w:szCs w:val="28"/>
        </w:rPr>
        <w:t>81</w:t>
      </w:r>
      <w:r w:rsidR="00E42110">
        <w:rPr>
          <w:rFonts w:ascii="仿宋" w:eastAsia="仿宋" w:hAnsi="仿宋" w:cs="仿宋" w:hint="eastAsia"/>
          <w:sz w:val="28"/>
          <w:szCs w:val="28"/>
        </w:rPr>
        <w:t>号N类份额</w:t>
      </w:r>
      <w:r>
        <w:rPr>
          <w:rFonts w:ascii="仿宋" w:eastAsia="仿宋" w:hAnsi="仿宋" w:cs="仿宋" w:hint="eastAsia"/>
          <w:sz w:val="28"/>
          <w:szCs w:val="28"/>
        </w:rPr>
        <w:t>产品说明书中约定的销售服务</w:t>
      </w:r>
      <w:r w:rsidR="007E075E">
        <w:rPr>
          <w:rFonts w:ascii="仿宋" w:eastAsia="仿宋" w:hAnsi="仿宋" w:cs="仿宋" w:hint="eastAsia"/>
          <w:sz w:val="28"/>
          <w:szCs w:val="28"/>
        </w:rPr>
        <w:t>费率</w:t>
      </w:r>
      <w:r w:rsidR="009E3C9D">
        <w:rPr>
          <w:rFonts w:ascii="仿宋" w:eastAsia="仿宋" w:hAnsi="仿宋" w:cs="仿宋" w:hint="eastAsia"/>
          <w:sz w:val="28"/>
          <w:szCs w:val="28"/>
        </w:rPr>
        <w:t>，具体调整</w:t>
      </w:r>
      <w:r>
        <w:rPr>
          <w:rFonts w:ascii="仿宋" w:eastAsia="仿宋" w:hAnsi="仿宋" w:cs="仿宋" w:hint="eastAsia"/>
          <w:sz w:val="28"/>
          <w:szCs w:val="28"/>
        </w:rPr>
        <w:t>如下：</w:t>
      </w:r>
    </w:p>
    <w:tbl>
      <w:tblPr>
        <w:tblStyle w:val="a8"/>
        <w:tblW w:w="8359" w:type="dxa"/>
        <w:jc w:val="center"/>
        <w:tblLayout w:type="fixed"/>
        <w:tblLook w:val="04A0" w:firstRow="1" w:lastRow="0" w:firstColumn="1" w:lastColumn="0" w:noHBand="0" w:noVBand="1"/>
      </w:tblPr>
      <w:tblGrid>
        <w:gridCol w:w="2263"/>
        <w:gridCol w:w="1134"/>
        <w:gridCol w:w="2127"/>
        <w:gridCol w:w="2835"/>
      </w:tblGrid>
      <w:tr w:rsidR="00851E51" w:rsidRPr="009E3C9D" w14:paraId="4C68CE6D" w14:textId="7789BB29" w:rsidTr="002516D2">
        <w:trPr>
          <w:trHeight w:val="149"/>
          <w:jc w:val="center"/>
        </w:trPr>
        <w:tc>
          <w:tcPr>
            <w:tcW w:w="2263" w:type="dxa"/>
            <w:vAlign w:val="center"/>
          </w:tcPr>
          <w:p w14:paraId="352A3498" w14:textId="7389234C" w:rsidR="00851E51" w:rsidRPr="002516D2" w:rsidRDefault="00851E51" w:rsidP="00851E51">
            <w:pPr>
              <w:widowControl/>
              <w:jc w:val="center"/>
              <w:rPr>
                <w:rFonts w:ascii="仿宋" w:eastAsia="仿宋" w:hAnsi="仿宋" w:cs="仿宋"/>
                <w:color w:val="333333"/>
                <w:kern w:val="0"/>
                <w:sz w:val="24"/>
                <w:szCs w:val="24"/>
                <w:shd w:val="clear" w:color="auto" w:fill="FFFFFF"/>
                <w:lang w:eastAsia="zh-Hans" w:bidi="ar"/>
              </w:rPr>
            </w:pPr>
            <w:r w:rsidRPr="002516D2">
              <w:rPr>
                <w:rFonts w:ascii="仿宋" w:eastAsia="仿宋" w:hAnsi="仿宋" w:cs="仿宋" w:hint="eastAsia"/>
                <w:color w:val="333333"/>
                <w:kern w:val="0"/>
                <w:sz w:val="24"/>
                <w:szCs w:val="24"/>
                <w:shd w:val="clear" w:color="auto" w:fill="FFFFFF"/>
                <w:lang w:eastAsia="zh-Hans" w:bidi="ar"/>
              </w:rPr>
              <w:t>产品</w:t>
            </w:r>
          </w:p>
        </w:tc>
        <w:tc>
          <w:tcPr>
            <w:tcW w:w="1134" w:type="dxa"/>
            <w:vAlign w:val="center"/>
          </w:tcPr>
          <w:p w14:paraId="11D9D39C" w14:textId="48CCC0E1" w:rsidR="00851E51" w:rsidRPr="002516D2" w:rsidRDefault="00851E51" w:rsidP="00851E51">
            <w:pPr>
              <w:widowControl/>
              <w:jc w:val="center"/>
              <w:rPr>
                <w:rFonts w:ascii="仿宋" w:eastAsia="仿宋" w:hAnsi="仿宋" w:cs="仿宋"/>
                <w:color w:val="333333"/>
                <w:kern w:val="0"/>
                <w:sz w:val="24"/>
                <w:szCs w:val="24"/>
                <w:shd w:val="clear" w:color="auto" w:fill="FFFFFF"/>
                <w:lang w:bidi="ar"/>
              </w:rPr>
            </w:pPr>
            <w:r w:rsidRPr="002516D2">
              <w:rPr>
                <w:rFonts w:ascii="仿宋" w:eastAsia="仿宋" w:hAnsi="仿宋" w:cs="仿宋" w:hint="eastAsia"/>
                <w:color w:val="333333"/>
                <w:kern w:val="0"/>
                <w:sz w:val="24"/>
                <w:szCs w:val="24"/>
                <w:shd w:val="clear" w:color="auto" w:fill="FFFFFF"/>
                <w:lang w:bidi="ar"/>
              </w:rPr>
              <w:t>代码</w:t>
            </w:r>
          </w:p>
        </w:tc>
        <w:tc>
          <w:tcPr>
            <w:tcW w:w="2127" w:type="dxa"/>
            <w:vAlign w:val="center"/>
          </w:tcPr>
          <w:p w14:paraId="74C65299" w14:textId="63D34A73" w:rsidR="00851E51" w:rsidRPr="002516D2" w:rsidRDefault="00B42735" w:rsidP="00B42735">
            <w:pPr>
              <w:widowControl/>
              <w:jc w:val="center"/>
              <w:rPr>
                <w:rFonts w:ascii="仿宋" w:eastAsia="仿宋" w:hAnsi="仿宋" w:cs="仿宋"/>
                <w:color w:val="333333"/>
                <w:kern w:val="0"/>
                <w:sz w:val="24"/>
                <w:szCs w:val="24"/>
                <w:shd w:val="clear" w:color="auto" w:fill="FFFFFF"/>
                <w:lang w:bidi="ar"/>
              </w:rPr>
            </w:pPr>
            <w:r w:rsidRPr="002516D2">
              <w:rPr>
                <w:rFonts w:ascii="仿宋" w:eastAsia="仿宋" w:hAnsi="仿宋" w:cs="仿宋" w:hint="eastAsia"/>
                <w:color w:val="333333"/>
                <w:kern w:val="0"/>
                <w:sz w:val="24"/>
                <w:szCs w:val="24"/>
                <w:shd w:val="clear" w:color="auto" w:fill="FFFFFF"/>
                <w:lang w:bidi="ar"/>
              </w:rPr>
              <w:t>说明书原</w:t>
            </w:r>
            <w:r w:rsidR="00851E51" w:rsidRPr="002516D2">
              <w:rPr>
                <w:rFonts w:ascii="仿宋" w:eastAsia="仿宋" w:hAnsi="仿宋" w:cs="仿宋" w:hint="eastAsia"/>
                <w:color w:val="333333"/>
                <w:kern w:val="0"/>
                <w:sz w:val="24"/>
                <w:szCs w:val="24"/>
                <w:shd w:val="clear" w:color="auto" w:fill="FFFFFF"/>
                <w:lang w:bidi="ar"/>
              </w:rPr>
              <w:t>销售服务费</w:t>
            </w:r>
            <w:r w:rsidR="00562430" w:rsidRPr="002516D2">
              <w:rPr>
                <w:rFonts w:ascii="仿宋" w:eastAsia="仿宋" w:hAnsi="仿宋" w:cs="仿宋" w:hint="eastAsia"/>
                <w:color w:val="333333"/>
                <w:kern w:val="0"/>
                <w:sz w:val="24"/>
                <w:szCs w:val="24"/>
                <w:shd w:val="clear" w:color="auto" w:fill="FFFFFF"/>
                <w:lang w:bidi="ar"/>
              </w:rPr>
              <w:t>（年化）</w:t>
            </w:r>
          </w:p>
        </w:tc>
        <w:tc>
          <w:tcPr>
            <w:tcW w:w="2835" w:type="dxa"/>
          </w:tcPr>
          <w:p w14:paraId="79DE0BDA" w14:textId="3AF28FBE" w:rsidR="00851E51" w:rsidRPr="002516D2" w:rsidRDefault="00B42735" w:rsidP="002516D2">
            <w:pPr>
              <w:widowControl/>
              <w:jc w:val="center"/>
              <w:rPr>
                <w:rFonts w:ascii="仿宋" w:eastAsia="仿宋" w:hAnsi="仿宋" w:cs="仿宋"/>
                <w:color w:val="333333"/>
                <w:kern w:val="0"/>
                <w:sz w:val="24"/>
                <w:szCs w:val="24"/>
                <w:shd w:val="clear" w:color="auto" w:fill="FFFFFF"/>
                <w:lang w:bidi="ar"/>
              </w:rPr>
            </w:pPr>
            <w:r w:rsidRPr="002516D2">
              <w:rPr>
                <w:rFonts w:ascii="仿宋" w:eastAsia="仿宋" w:hAnsi="仿宋" w:cs="仿宋" w:hint="eastAsia"/>
                <w:color w:val="333333"/>
                <w:kern w:val="0"/>
                <w:sz w:val="24"/>
                <w:szCs w:val="24"/>
                <w:shd w:val="clear" w:color="auto" w:fill="FFFFFF"/>
                <w:lang w:bidi="ar"/>
              </w:rPr>
              <w:t>说明书调整后销售服务费</w:t>
            </w:r>
            <w:r w:rsidR="00562430" w:rsidRPr="002516D2">
              <w:rPr>
                <w:rFonts w:ascii="仿宋" w:eastAsia="仿宋" w:hAnsi="仿宋" w:cs="仿宋" w:hint="eastAsia"/>
                <w:color w:val="333333"/>
                <w:kern w:val="0"/>
                <w:sz w:val="24"/>
                <w:szCs w:val="24"/>
                <w:shd w:val="clear" w:color="auto" w:fill="FFFFFF"/>
                <w:lang w:bidi="ar"/>
              </w:rPr>
              <w:t>（年化）</w:t>
            </w:r>
          </w:p>
        </w:tc>
      </w:tr>
      <w:tr w:rsidR="00851E51" w:rsidRPr="009E3C9D" w14:paraId="02821497" w14:textId="5679A30E" w:rsidTr="002516D2">
        <w:trPr>
          <w:trHeight w:val="50"/>
          <w:jc w:val="center"/>
        </w:trPr>
        <w:tc>
          <w:tcPr>
            <w:tcW w:w="2263" w:type="dxa"/>
            <w:vAlign w:val="center"/>
          </w:tcPr>
          <w:p w14:paraId="6BC40356" w14:textId="654C3FB0" w:rsidR="00851E51" w:rsidRPr="002516D2" w:rsidRDefault="00851E51" w:rsidP="00D43438">
            <w:pPr>
              <w:widowControl/>
              <w:rPr>
                <w:rFonts w:ascii="仿宋" w:eastAsia="仿宋" w:hAnsi="仿宋" w:cs="仿宋"/>
                <w:sz w:val="24"/>
                <w:szCs w:val="24"/>
              </w:rPr>
            </w:pPr>
            <w:r w:rsidRPr="002516D2">
              <w:rPr>
                <w:rFonts w:ascii="仿宋" w:eastAsia="仿宋" w:hAnsi="仿宋" w:cs="仿宋" w:hint="eastAsia"/>
                <w:sz w:val="24"/>
                <w:szCs w:val="24"/>
              </w:rPr>
              <w:t>阳光碧乐活</w:t>
            </w:r>
            <w:r w:rsidR="009E3C9D" w:rsidRPr="002516D2">
              <w:rPr>
                <w:rFonts w:ascii="仿宋" w:eastAsia="仿宋" w:hAnsi="仿宋" w:cs="仿宋" w:hint="eastAsia"/>
                <w:sz w:val="24"/>
                <w:szCs w:val="24"/>
              </w:rPr>
              <w:t>8</w:t>
            </w:r>
            <w:r w:rsidR="00E42110" w:rsidRPr="002516D2">
              <w:rPr>
                <w:rFonts w:ascii="仿宋" w:eastAsia="仿宋" w:hAnsi="仿宋" w:cs="仿宋" w:hint="eastAsia"/>
                <w:sz w:val="24"/>
                <w:szCs w:val="24"/>
              </w:rPr>
              <w:t>1</w:t>
            </w:r>
            <w:r w:rsidRPr="002516D2">
              <w:rPr>
                <w:rFonts w:ascii="仿宋" w:eastAsia="仿宋" w:hAnsi="仿宋" w:cs="仿宋"/>
                <w:sz w:val="24"/>
                <w:szCs w:val="24"/>
              </w:rPr>
              <w:t>号</w:t>
            </w:r>
            <w:r w:rsidR="00E42110" w:rsidRPr="002516D2">
              <w:rPr>
                <w:rFonts w:ascii="仿宋" w:eastAsia="仿宋" w:hAnsi="仿宋" w:cs="仿宋" w:hint="eastAsia"/>
                <w:sz w:val="24"/>
                <w:szCs w:val="24"/>
              </w:rPr>
              <w:t>N</w:t>
            </w:r>
          </w:p>
        </w:tc>
        <w:tc>
          <w:tcPr>
            <w:tcW w:w="1134" w:type="dxa"/>
            <w:vAlign w:val="center"/>
          </w:tcPr>
          <w:p w14:paraId="15048632" w14:textId="07B6EB65" w:rsidR="00851E51" w:rsidRPr="002516D2" w:rsidRDefault="00851E51" w:rsidP="00851E51">
            <w:pPr>
              <w:widowControl/>
              <w:jc w:val="center"/>
              <w:rPr>
                <w:rFonts w:ascii="仿宋" w:eastAsia="仿宋" w:hAnsi="仿宋" w:cs="仿宋" w:hint="eastAsia"/>
                <w:color w:val="333333"/>
                <w:kern w:val="0"/>
                <w:sz w:val="24"/>
                <w:szCs w:val="24"/>
                <w:shd w:val="clear" w:color="auto" w:fill="FFFFFF"/>
                <w:lang w:bidi="ar"/>
              </w:rPr>
            </w:pPr>
            <w:r w:rsidRPr="002516D2">
              <w:rPr>
                <w:rFonts w:ascii="仿宋" w:eastAsia="仿宋" w:hAnsi="仿宋" w:cs="仿宋"/>
                <w:sz w:val="24"/>
                <w:szCs w:val="24"/>
              </w:rPr>
              <w:t>EW</w:t>
            </w:r>
            <w:r w:rsidR="00E42110" w:rsidRPr="002516D2">
              <w:rPr>
                <w:rFonts w:ascii="仿宋" w:eastAsia="仿宋" w:hAnsi="仿宋" w:cs="仿宋" w:hint="eastAsia"/>
                <w:sz w:val="24"/>
                <w:szCs w:val="24"/>
              </w:rPr>
              <w:t>1758N</w:t>
            </w:r>
          </w:p>
        </w:tc>
        <w:tc>
          <w:tcPr>
            <w:tcW w:w="2127" w:type="dxa"/>
            <w:vAlign w:val="center"/>
          </w:tcPr>
          <w:p w14:paraId="59C0EEFB" w14:textId="5F7E33F4" w:rsidR="00851E51" w:rsidRPr="002516D2" w:rsidRDefault="00851E51" w:rsidP="00851E51">
            <w:pPr>
              <w:widowControl/>
              <w:jc w:val="center"/>
              <w:rPr>
                <w:rFonts w:ascii="仿宋" w:eastAsia="仿宋" w:hAnsi="仿宋" w:cs="仿宋"/>
                <w:color w:val="333333"/>
                <w:kern w:val="0"/>
                <w:sz w:val="24"/>
                <w:szCs w:val="24"/>
                <w:shd w:val="clear" w:color="auto" w:fill="FFFFFF"/>
                <w:lang w:bidi="ar"/>
              </w:rPr>
            </w:pPr>
            <w:r w:rsidRPr="002516D2">
              <w:rPr>
                <w:rFonts w:ascii="仿宋" w:eastAsia="仿宋" w:hAnsi="仿宋" w:cs="仿宋" w:hint="eastAsia"/>
                <w:color w:val="333333"/>
                <w:kern w:val="0"/>
                <w:sz w:val="24"/>
                <w:szCs w:val="24"/>
                <w:shd w:val="clear" w:color="auto" w:fill="FFFFFF"/>
                <w:lang w:bidi="ar"/>
              </w:rPr>
              <w:t>0.</w:t>
            </w:r>
            <w:r w:rsidR="00B42735" w:rsidRPr="002516D2">
              <w:rPr>
                <w:rFonts w:ascii="仿宋" w:eastAsia="仿宋" w:hAnsi="仿宋" w:cs="仿宋"/>
                <w:color w:val="333333"/>
                <w:kern w:val="0"/>
                <w:sz w:val="24"/>
                <w:szCs w:val="24"/>
                <w:shd w:val="clear" w:color="auto" w:fill="FFFFFF"/>
                <w:lang w:bidi="ar"/>
              </w:rPr>
              <w:t>15</w:t>
            </w:r>
            <w:r w:rsidRPr="002516D2">
              <w:rPr>
                <w:rFonts w:ascii="仿宋" w:eastAsia="仿宋" w:hAnsi="仿宋" w:cs="仿宋" w:hint="eastAsia"/>
                <w:color w:val="333333"/>
                <w:kern w:val="0"/>
                <w:sz w:val="24"/>
                <w:szCs w:val="24"/>
                <w:shd w:val="clear" w:color="auto" w:fill="FFFFFF"/>
                <w:lang w:eastAsia="zh-Hans" w:bidi="ar"/>
              </w:rPr>
              <w:t>%</w:t>
            </w:r>
          </w:p>
        </w:tc>
        <w:tc>
          <w:tcPr>
            <w:tcW w:w="2835" w:type="dxa"/>
          </w:tcPr>
          <w:p w14:paraId="1371297A" w14:textId="31D86DBA" w:rsidR="00851E51" w:rsidRPr="002516D2" w:rsidRDefault="00D43438" w:rsidP="00D43438">
            <w:pPr>
              <w:widowControl/>
              <w:jc w:val="center"/>
              <w:rPr>
                <w:rFonts w:ascii="仿宋" w:eastAsia="仿宋" w:hAnsi="仿宋" w:cs="仿宋"/>
                <w:color w:val="333333"/>
                <w:kern w:val="0"/>
                <w:sz w:val="24"/>
                <w:szCs w:val="24"/>
                <w:shd w:val="clear" w:color="auto" w:fill="FFFFFF"/>
                <w:lang w:bidi="ar"/>
              </w:rPr>
            </w:pPr>
            <w:r w:rsidRPr="002516D2">
              <w:rPr>
                <w:rFonts w:ascii="仿宋" w:eastAsia="仿宋" w:hAnsi="仿宋" w:cs="仿宋"/>
                <w:color w:val="333333"/>
                <w:kern w:val="0"/>
                <w:sz w:val="24"/>
                <w:szCs w:val="24"/>
                <w:shd w:val="clear" w:color="auto" w:fill="FFFFFF"/>
                <w:lang w:bidi="ar"/>
              </w:rPr>
              <w:t>0</w:t>
            </w:r>
            <w:r w:rsidR="00B42735" w:rsidRPr="002516D2">
              <w:rPr>
                <w:rFonts w:ascii="仿宋" w:eastAsia="仿宋" w:hAnsi="仿宋" w:cs="仿宋"/>
                <w:color w:val="333333"/>
                <w:kern w:val="0"/>
                <w:sz w:val="24"/>
                <w:szCs w:val="24"/>
                <w:shd w:val="clear" w:color="auto" w:fill="FFFFFF"/>
                <w:lang w:bidi="ar"/>
              </w:rPr>
              <w:t>.20%</w:t>
            </w:r>
          </w:p>
        </w:tc>
      </w:tr>
    </w:tbl>
    <w:p w14:paraId="48968788" w14:textId="6B6B1375" w:rsidR="00322AEE" w:rsidRDefault="00A002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560"/>
        <w:rPr>
          <w:rFonts w:ascii="仿宋" w:eastAsia="仿宋" w:hAnsi="仿宋"/>
          <w:sz w:val="28"/>
          <w:szCs w:val="28"/>
        </w:rPr>
      </w:pPr>
      <w:r>
        <w:rPr>
          <w:rFonts w:ascii="仿宋" w:eastAsia="仿宋" w:hAnsi="仿宋" w:hint="eastAsia"/>
          <w:sz w:val="28"/>
          <w:szCs w:val="28"/>
        </w:rPr>
        <w:t>同时，</w:t>
      </w:r>
      <w:r w:rsidR="00322AEE">
        <w:rPr>
          <w:rFonts w:ascii="仿宋" w:eastAsia="仿宋" w:hAnsi="仿宋" w:hint="eastAsia"/>
          <w:sz w:val="28"/>
          <w:szCs w:val="28"/>
        </w:rPr>
        <w:t>更新说明书</w:t>
      </w:r>
      <w:r w:rsidR="00322AEE" w:rsidRPr="00322AEE">
        <w:rPr>
          <w:rFonts w:ascii="仿宋" w:eastAsia="仿宋" w:hAnsi="仿宋" w:hint="eastAsia"/>
          <w:sz w:val="28"/>
          <w:szCs w:val="28"/>
        </w:rPr>
        <w:t>“销售渠道与销售服务机构”相关</w:t>
      </w:r>
      <w:r w:rsidR="00322AEE">
        <w:rPr>
          <w:rFonts w:ascii="仿宋" w:eastAsia="仿宋" w:hAnsi="仿宋" w:hint="eastAsia"/>
          <w:sz w:val="28"/>
          <w:szCs w:val="28"/>
        </w:rPr>
        <w:t>条款中</w:t>
      </w:r>
      <w:r w:rsidR="00322AEE" w:rsidRPr="00322AEE">
        <w:rPr>
          <w:rFonts w:ascii="仿宋" w:eastAsia="仿宋" w:hAnsi="仿宋" w:hint="eastAsia"/>
          <w:sz w:val="28"/>
          <w:szCs w:val="28"/>
        </w:rPr>
        <w:t>销售服务机构主要</w:t>
      </w:r>
      <w:r w:rsidR="00322AEE">
        <w:rPr>
          <w:rFonts w:ascii="仿宋" w:eastAsia="仿宋" w:hAnsi="仿宋" w:hint="eastAsia"/>
          <w:sz w:val="28"/>
          <w:szCs w:val="28"/>
        </w:rPr>
        <w:t>信息</w:t>
      </w:r>
      <w:r w:rsidR="003A5275">
        <w:rPr>
          <w:rFonts w:ascii="仿宋" w:eastAsia="仿宋" w:hAnsi="仿宋" w:hint="eastAsia"/>
          <w:sz w:val="28"/>
          <w:szCs w:val="28"/>
        </w:rPr>
        <w:t>：</w:t>
      </w:r>
      <w:r w:rsidR="00322AEE">
        <w:rPr>
          <w:rFonts w:ascii="仿宋" w:eastAsia="仿宋" w:hAnsi="仿宋" w:hint="eastAsia"/>
          <w:sz w:val="28"/>
          <w:szCs w:val="28"/>
        </w:rPr>
        <w:t>增加南京银行股份有限公司</w:t>
      </w:r>
      <w:r w:rsidR="003A5275">
        <w:rPr>
          <w:rFonts w:ascii="仿宋" w:eastAsia="仿宋" w:hAnsi="仿宋" w:hint="eastAsia"/>
          <w:sz w:val="28"/>
          <w:szCs w:val="28"/>
        </w:rPr>
        <w:t>，具体调整请详见</w:t>
      </w:r>
      <w:r w:rsidR="0055609C">
        <w:rPr>
          <w:rFonts w:ascii="仿宋" w:eastAsia="仿宋" w:hAnsi="仿宋" w:hint="eastAsia"/>
          <w:sz w:val="28"/>
          <w:szCs w:val="28"/>
        </w:rPr>
        <w:t>附件中</w:t>
      </w:r>
      <w:r w:rsidR="003A5275">
        <w:rPr>
          <w:rFonts w:ascii="仿宋" w:eastAsia="仿宋" w:hAnsi="仿宋" w:hint="eastAsia"/>
          <w:sz w:val="28"/>
          <w:szCs w:val="28"/>
        </w:rPr>
        <w:t>产品说明书</w:t>
      </w:r>
      <w:r w:rsidR="008675F8">
        <w:rPr>
          <w:rFonts w:ascii="仿宋" w:eastAsia="仿宋" w:hAnsi="仿宋" w:hint="eastAsia"/>
          <w:sz w:val="28"/>
          <w:szCs w:val="28"/>
        </w:rPr>
        <w:t>。</w:t>
      </w:r>
    </w:p>
    <w:p w14:paraId="535C8CCB" w14:textId="5ECBB974" w:rsidR="00DA6D0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560"/>
        <w:rPr>
          <w:rFonts w:ascii="仿宋" w:eastAsia="仿宋" w:hAnsi="仿宋"/>
          <w:sz w:val="28"/>
          <w:szCs w:val="28"/>
        </w:rPr>
      </w:pPr>
      <w:r>
        <w:rPr>
          <w:rFonts w:ascii="仿宋" w:eastAsia="仿宋" w:hAnsi="仿宋"/>
          <w:sz w:val="28"/>
          <w:szCs w:val="28"/>
        </w:rPr>
        <w:t>若本理财产品的投资者不接受本次公告所述调整，</w:t>
      </w:r>
      <w:r>
        <w:rPr>
          <w:rFonts w:ascii="仿宋" w:eastAsia="仿宋" w:hAnsi="仿宋" w:hint="eastAsia"/>
          <w:sz w:val="28"/>
          <w:szCs w:val="28"/>
        </w:rPr>
        <w:t>可</w:t>
      </w:r>
      <w:r>
        <w:rPr>
          <w:rFonts w:ascii="仿宋" w:eastAsia="仿宋" w:hAnsi="仿宋"/>
          <w:sz w:val="28"/>
          <w:szCs w:val="28"/>
        </w:rPr>
        <w:t>在产品开放日及时通过代销机构营业网点或网上销售平台赎回本产品；若本理财产品投资者未赎回本产品，则视为投资者对相关调整无异议并同意继续持有本理财产品。</w:t>
      </w:r>
      <w:r>
        <w:rPr>
          <w:rFonts w:ascii="仿宋" w:eastAsia="仿宋" w:hAnsi="仿宋" w:cs="PingFang SC" w:hint="eastAsia"/>
          <w:color w:val="000000"/>
          <w:kern w:val="0"/>
          <w:sz w:val="28"/>
          <w:szCs w:val="28"/>
        </w:rPr>
        <w:t>业绩比较基准不构成理财产品的任何收益承诺，理财产品过往业绩不代表其未来表现，不等于理财产品实际收益，投资须谨慎。</w:t>
      </w:r>
    </w:p>
    <w:p w14:paraId="20921A79" w14:textId="77777777" w:rsidR="00DA6D08" w:rsidRDefault="00000000">
      <w:pPr>
        <w:pStyle w:val="a7"/>
        <w:widowControl/>
        <w:ind w:firstLineChars="200" w:firstLine="560"/>
        <w:jc w:val="both"/>
        <w:rPr>
          <w:rFonts w:ascii="仿宋" w:eastAsia="仿宋" w:hAnsi="仿宋" w:cs="宋体"/>
          <w:sz w:val="28"/>
          <w:szCs w:val="28"/>
        </w:rPr>
      </w:pPr>
      <w:r>
        <w:rPr>
          <w:rFonts w:ascii="仿宋" w:eastAsia="仿宋" w:hAnsi="仿宋" w:cs="宋体" w:hint="eastAsia"/>
          <w:sz w:val="28"/>
          <w:szCs w:val="28"/>
        </w:rPr>
        <w:t>特此公告。</w:t>
      </w:r>
    </w:p>
    <w:p w14:paraId="200E4C75" w14:textId="77777777" w:rsidR="00DA6D08" w:rsidRDefault="00DA6D08">
      <w:pPr>
        <w:ind w:firstLineChars="200" w:firstLine="640"/>
        <w:jc w:val="left"/>
        <w:rPr>
          <w:rFonts w:ascii="仿宋" w:eastAsia="仿宋" w:hAnsi="仿宋"/>
          <w:sz w:val="32"/>
          <w:szCs w:val="32"/>
        </w:rPr>
      </w:pPr>
    </w:p>
    <w:p w14:paraId="5F97D654" w14:textId="77777777" w:rsidR="00DA6D08" w:rsidRDefault="00DA6D08">
      <w:pPr>
        <w:spacing w:line="560" w:lineRule="exact"/>
        <w:ind w:firstLineChars="200" w:firstLine="480"/>
        <w:jc w:val="right"/>
        <w:rPr>
          <w:rFonts w:ascii="仿宋" w:eastAsia="仿宋" w:hAnsi="仿宋" w:cs="仿宋"/>
          <w:sz w:val="24"/>
          <w:szCs w:val="24"/>
        </w:rPr>
      </w:pPr>
    </w:p>
    <w:p w14:paraId="5F064CB3" w14:textId="77777777" w:rsidR="00DA6D0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560"/>
        <w:jc w:val="right"/>
        <w:rPr>
          <w:rFonts w:ascii="仿宋" w:eastAsia="仿宋" w:hAnsi="仿宋"/>
          <w:sz w:val="28"/>
          <w:szCs w:val="28"/>
        </w:rPr>
      </w:pPr>
      <w:r>
        <w:rPr>
          <w:rFonts w:ascii="仿宋" w:eastAsia="仿宋" w:hAnsi="仿宋" w:hint="eastAsia"/>
          <w:sz w:val="28"/>
          <w:szCs w:val="28"/>
        </w:rPr>
        <w:t>光大理财有限责任公司</w:t>
      </w:r>
    </w:p>
    <w:p w14:paraId="161DEF4D" w14:textId="37DCAFFD" w:rsidR="00DA6D08" w:rsidRDefault="00000000" w:rsidP="00172D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56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ab/>
        <w:t xml:space="preserve">  202</w:t>
      </w:r>
      <w:r>
        <w:rPr>
          <w:rFonts w:ascii="仿宋" w:eastAsia="仿宋" w:hAnsi="仿宋"/>
          <w:sz w:val="28"/>
          <w:szCs w:val="28"/>
        </w:rPr>
        <w:t>4</w:t>
      </w:r>
      <w:r>
        <w:rPr>
          <w:rFonts w:ascii="仿宋" w:eastAsia="仿宋" w:hAnsi="仿宋" w:hint="eastAsia"/>
          <w:sz w:val="28"/>
          <w:szCs w:val="28"/>
        </w:rPr>
        <w:t>年</w:t>
      </w:r>
      <w:r w:rsidR="007A165C">
        <w:rPr>
          <w:rFonts w:ascii="仿宋" w:eastAsia="仿宋" w:hAnsi="仿宋" w:hint="eastAsia"/>
          <w:sz w:val="28"/>
          <w:szCs w:val="28"/>
        </w:rPr>
        <w:t>3</w:t>
      </w:r>
      <w:r>
        <w:rPr>
          <w:rFonts w:ascii="仿宋" w:eastAsia="仿宋" w:hAnsi="仿宋" w:hint="eastAsia"/>
          <w:sz w:val="28"/>
          <w:szCs w:val="28"/>
        </w:rPr>
        <w:t>月</w:t>
      </w:r>
      <w:r w:rsidR="007A165C">
        <w:rPr>
          <w:rFonts w:ascii="仿宋" w:eastAsia="仿宋" w:hAnsi="仿宋" w:hint="eastAsia"/>
          <w:sz w:val="28"/>
          <w:szCs w:val="28"/>
        </w:rPr>
        <w:t>19</w:t>
      </w:r>
      <w:r>
        <w:rPr>
          <w:rFonts w:ascii="仿宋" w:eastAsia="仿宋" w:hAnsi="仿宋" w:hint="eastAsia"/>
          <w:sz w:val="28"/>
          <w:szCs w:val="28"/>
        </w:rPr>
        <w:t>日</w:t>
      </w:r>
    </w:p>
    <w:p w14:paraId="4BEDAD66" w14:textId="510A99E7" w:rsidR="00EE1479" w:rsidRPr="00EE1479" w:rsidRDefault="00000000" w:rsidP="002703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仿宋" w:eastAsia="仿宋" w:hAnsi="仿宋" w:cs="Times New Roman"/>
          <w:sz w:val="28"/>
          <w:szCs w:val="28"/>
        </w:rPr>
      </w:pPr>
      <w:r>
        <w:rPr>
          <w:rFonts w:ascii="仿宋" w:eastAsia="仿宋" w:hAnsi="仿宋" w:cs="Times New Roman" w:hint="eastAsia"/>
          <w:sz w:val="28"/>
          <w:szCs w:val="28"/>
        </w:rPr>
        <w:lastRenderedPageBreak/>
        <w:t>附件：</w:t>
      </w:r>
      <w:r w:rsidR="0027035C" w:rsidRPr="0027035C">
        <w:rPr>
          <w:rFonts w:ascii="仿宋" w:eastAsia="仿宋" w:hAnsi="仿宋" w:cs="Times New Roman" w:hint="eastAsia"/>
          <w:sz w:val="28"/>
          <w:szCs w:val="28"/>
        </w:rPr>
        <w:t>光大理财阳光碧乐活</w:t>
      </w:r>
      <w:r w:rsidR="0027035C" w:rsidRPr="0027035C">
        <w:rPr>
          <w:rFonts w:ascii="仿宋" w:eastAsia="仿宋" w:hAnsi="仿宋" w:cs="Times New Roman"/>
          <w:sz w:val="28"/>
          <w:szCs w:val="28"/>
        </w:rPr>
        <w:t>81号理财产品说明书、风险揭示书、投资者权益须知、投资协议书（20240322）</w:t>
      </w:r>
    </w:p>
    <w:sectPr w:rsidR="00EE1479" w:rsidRPr="00EE1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B9F87" w14:textId="77777777" w:rsidR="00E61F7A" w:rsidRDefault="00E61F7A" w:rsidP="00131E1F">
      <w:r>
        <w:separator/>
      </w:r>
    </w:p>
  </w:endnote>
  <w:endnote w:type="continuationSeparator" w:id="0">
    <w:p w14:paraId="3E4C6631" w14:textId="77777777" w:rsidR="00E61F7A" w:rsidRDefault="00E61F7A" w:rsidP="0013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ingFang SC">
    <w:altName w:val="宋体"/>
    <w:charset w:val="86"/>
    <w:family w:val="swiss"/>
    <w:pitch w:val="default"/>
    <w:sig w:usb0="00000000" w:usb1="00000000" w:usb2="00000017"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7DFCC" w14:textId="77777777" w:rsidR="00E61F7A" w:rsidRDefault="00E61F7A" w:rsidP="00131E1F">
      <w:r>
        <w:separator/>
      </w:r>
    </w:p>
  </w:footnote>
  <w:footnote w:type="continuationSeparator" w:id="0">
    <w:p w14:paraId="3405459C" w14:textId="77777777" w:rsidR="00E61F7A" w:rsidRDefault="00E61F7A" w:rsidP="00131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hmYjZiYmI1MDFkNDcxZjA4MWNkYTRlNzlmZDBjNTgifQ=="/>
  </w:docVars>
  <w:rsids>
    <w:rsidRoot w:val="003F7D4A"/>
    <w:rsid w:val="00007A12"/>
    <w:rsid w:val="00021799"/>
    <w:rsid w:val="000257E6"/>
    <w:rsid w:val="00035706"/>
    <w:rsid w:val="00043B3A"/>
    <w:rsid w:val="000443E9"/>
    <w:rsid w:val="00053C85"/>
    <w:rsid w:val="00057DF7"/>
    <w:rsid w:val="0006085E"/>
    <w:rsid w:val="00072802"/>
    <w:rsid w:val="00080095"/>
    <w:rsid w:val="00083BA2"/>
    <w:rsid w:val="00093B49"/>
    <w:rsid w:val="00095A4C"/>
    <w:rsid w:val="000A6D8A"/>
    <w:rsid w:val="000E2017"/>
    <w:rsid w:val="000E5F1E"/>
    <w:rsid w:val="000F407F"/>
    <w:rsid w:val="00120EA2"/>
    <w:rsid w:val="00126DD7"/>
    <w:rsid w:val="00131E1F"/>
    <w:rsid w:val="0013529A"/>
    <w:rsid w:val="0014109F"/>
    <w:rsid w:val="0015603A"/>
    <w:rsid w:val="00157087"/>
    <w:rsid w:val="00165F7E"/>
    <w:rsid w:val="00172D09"/>
    <w:rsid w:val="001774B0"/>
    <w:rsid w:val="00180B2E"/>
    <w:rsid w:val="00180B62"/>
    <w:rsid w:val="001B25EE"/>
    <w:rsid w:val="001C1154"/>
    <w:rsid w:val="001D1441"/>
    <w:rsid w:val="001D3F32"/>
    <w:rsid w:val="001D6354"/>
    <w:rsid w:val="001D7B6C"/>
    <w:rsid w:val="001E33D4"/>
    <w:rsid w:val="001F55AE"/>
    <w:rsid w:val="001F7382"/>
    <w:rsid w:val="001F7B2B"/>
    <w:rsid w:val="002022A1"/>
    <w:rsid w:val="00204423"/>
    <w:rsid w:val="00211FF6"/>
    <w:rsid w:val="00214028"/>
    <w:rsid w:val="00234E16"/>
    <w:rsid w:val="0023662C"/>
    <w:rsid w:val="00237BA1"/>
    <w:rsid w:val="00246C01"/>
    <w:rsid w:val="00246EBF"/>
    <w:rsid w:val="002516D2"/>
    <w:rsid w:val="00251F72"/>
    <w:rsid w:val="002520CF"/>
    <w:rsid w:val="002556DE"/>
    <w:rsid w:val="0027035C"/>
    <w:rsid w:val="0027190C"/>
    <w:rsid w:val="00276DCB"/>
    <w:rsid w:val="00283A77"/>
    <w:rsid w:val="0028629D"/>
    <w:rsid w:val="002867C8"/>
    <w:rsid w:val="0029122E"/>
    <w:rsid w:val="002A09E6"/>
    <w:rsid w:val="002B34A0"/>
    <w:rsid w:val="002C2912"/>
    <w:rsid w:val="002D028D"/>
    <w:rsid w:val="002D315C"/>
    <w:rsid w:val="002F2F2F"/>
    <w:rsid w:val="00300ED0"/>
    <w:rsid w:val="00302073"/>
    <w:rsid w:val="0031377E"/>
    <w:rsid w:val="00314E3F"/>
    <w:rsid w:val="00322AEE"/>
    <w:rsid w:val="00332621"/>
    <w:rsid w:val="00354C97"/>
    <w:rsid w:val="00385BE2"/>
    <w:rsid w:val="003A2041"/>
    <w:rsid w:val="003A5275"/>
    <w:rsid w:val="003C30AF"/>
    <w:rsid w:val="003C3DBD"/>
    <w:rsid w:val="003D7715"/>
    <w:rsid w:val="003E3A45"/>
    <w:rsid w:val="003F0923"/>
    <w:rsid w:val="003F7AF9"/>
    <w:rsid w:val="003F7D4A"/>
    <w:rsid w:val="004053F1"/>
    <w:rsid w:val="00415AF3"/>
    <w:rsid w:val="00421F95"/>
    <w:rsid w:val="004473BB"/>
    <w:rsid w:val="00461C67"/>
    <w:rsid w:val="00470091"/>
    <w:rsid w:val="00480556"/>
    <w:rsid w:val="00491AF5"/>
    <w:rsid w:val="004A21C2"/>
    <w:rsid w:val="004B44DC"/>
    <w:rsid w:val="004B7033"/>
    <w:rsid w:val="004C16E5"/>
    <w:rsid w:val="004D5C56"/>
    <w:rsid w:val="004D7A64"/>
    <w:rsid w:val="004F6837"/>
    <w:rsid w:val="0050236F"/>
    <w:rsid w:val="0050295C"/>
    <w:rsid w:val="00505351"/>
    <w:rsid w:val="00515B6F"/>
    <w:rsid w:val="00516441"/>
    <w:rsid w:val="00533CAE"/>
    <w:rsid w:val="0054636E"/>
    <w:rsid w:val="0055491B"/>
    <w:rsid w:val="00555138"/>
    <w:rsid w:val="0055609C"/>
    <w:rsid w:val="00562430"/>
    <w:rsid w:val="005651C5"/>
    <w:rsid w:val="00570ACA"/>
    <w:rsid w:val="005728D0"/>
    <w:rsid w:val="00573D07"/>
    <w:rsid w:val="0057659E"/>
    <w:rsid w:val="00577A72"/>
    <w:rsid w:val="00580C0B"/>
    <w:rsid w:val="005A32B3"/>
    <w:rsid w:val="005B4DC1"/>
    <w:rsid w:val="005C53B0"/>
    <w:rsid w:val="005E437E"/>
    <w:rsid w:val="005E53DB"/>
    <w:rsid w:val="005E6952"/>
    <w:rsid w:val="005F5F99"/>
    <w:rsid w:val="006032F7"/>
    <w:rsid w:val="00620578"/>
    <w:rsid w:val="00645900"/>
    <w:rsid w:val="006528C7"/>
    <w:rsid w:val="006646B1"/>
    <w:rsid w:val="00666BD3"/>
    <w:rsid w:val="0067095F"/>
    <w:rsid w:val="00673838"/>
    <w:rsid w:val="00677151"/>
    <w:rsid w:val="00691D6A"/>
    <w:rsid w:val="006A0007"/>
    <w:rsid w:val="006A396C"/>
    <w:rsid w:val="006B6F1B"/>
    <w:rsid w:val="006C0789"/>
    <w:rsid w:val="006C0F0D"/>
    <w:rsid w:val="006D30F6"/>
    <w:rsid w:val="006D5EDC"/>
    <w:rsid w:val="006F09C8"/>
    <w:rsid w:val="006F5EC7"/>
    <w:rsid w:val="00702448"/>
    <w:rsid w:val="00704842"/>
    <w:rsid w:val="00707744"/>
    <w:rsid w:val="00717611"/>
    <w:rsid w:val="00720529"/>
    <w:rsid w:val="00731CD7"/>
    <w:rsid w:val="00732411"/>
    <w:rsid w:val="00736CA0"/>
    <w:rsid w:val="007502BB"/>
    <w:rsid w:val="00753371"/>
    <w:rsid w:val="00753B15"/>
    <w:rsid w:val="00755DD0"/>
    <w:rsid w:val="00793C9A"/>
    <w:rsid w:val="0079474D"/>
    <w:rsid w:val="007A0C2B"/>
    <w:rsid w:val="007A165C"/>
    <w:rsid w:val="007B04FF"/>
    <w:rsid w:val="007C3348"/>
    <w:rsid w:val="007C428E"/>
    <w:rsid w:val="007C5ED6"/>
    <w:rsid w:val="007D18FE"/>
    <w:rsid w:val="007E075E"/>
    <w:rsid w:val="007E2FF8"/>
    <w:rsid w:val="007F435C"/>
    <w:rsid w:val="007F7871"/>
    <w:rsid w:val="0080654E"/>
    <w:rsid w:val="00806DFE"/>
    <w:rsid w:val="00807E31"/>
    <w:rsid w:val="00821631"/>
    <w:rsid w:val="00836607"/>
    <w:rsid w:val="0084041B"/>
    <w:rsid w:val="00850BEC"/>
    <w:rsid w:val="00851E51"/>
    <w:rsid w:val="00861B1D"/>
    <w:rsid w:val="008662D8"/>
    <w:rsid w:val="008675F8"/>
    <w:rsid w:val="008726D0"/>
    <w:rsid w:val="00886499"/>
    <w:rsid w:val="008A2C67"/>
    <w:rsid w:val="008A721B"/>
    <w:rsid w:val="008B04EB"/>
    <w:rsid w:val="008B6B00"/>
    <w:rsid w:val="008C4176"/>
    <w:rsid w:val="008E445E"/>
    <w:rsid w:val="00905289"/>
    <w:rsid w:val="0094024C"/>
    <w:rsid w:val="00947E83"/>
    <w:rsid w:val="0098238D"/>
    <w:rsid w:val="009904AE"/>
    <w:rsid w:val="00992B8F"/>
    <w:rsid w:val="00997643"/>
    <w:rsid w:val="009A10A6"/>
    <w:rsid w:val="009A1925"/>
    <w:rsid w:val="009B038D"/>
    <w:rsid w:val="009C3847"/>
    <w:rsid w:val="009C4551"/>
    <w:rsid w:val="009C53AA"/>
    <w:rsid w:val="009D5B72"/>
    <w:rsid w:val="009E3C9D"/>
    <w:rsid w:val="009E4AFF"/>
    <w:rsid w:val="009F3C8A"/>
    <w:rsid w:val="00A00218"/>
    <w:rsid w:val="00A37E0D"/>
    <w:rsid w:val="00A4085E"/>
    <w:rsid w:val="00A46764"/>
    <w:rsid w:val="00A521A3"/>
    <w:rsid w:val="00AB2CAA"/>
    <w:rsid w:val="00AB64F7"/>
    <w:rsid w:val="00AC1780"/>
    <w:rsid w:val="00AD3FCE"/>
    <w:rsid w:val="00B013CE"/>
    <w:rsid w:val="00B22065"/>
    <w:rsid w:val="00B25518"/>
    <w:rsid w:val="00B30BE7"/>
    <w:rsid w:val="00B42735"/>
    <w:rsid w:val="00B57313"/>
    <w:rsid w:val="00B750E5"/>
    <w:rsid w:val="00B764FC"/>
    <w:rsid w:val="00BA46F2"/>
    <w:rsid w:val="00BA554F"/>
    <w:rsid w:val="00BB7AB2"/>
    <w:rsid w:val="00BC1A3B"/>
    <w:rsid w:val="00BD1748"/>
    <w:rsid w:val="00BD2C05"/>
    <w:rsid w:val="00BD78BE"/>
    <w:rsid w:val="00BE1453"/>
    <w:rsid w:val="00BE537E"/>
    <w:rsid w:val="00BF127D"/>
    <w:rsid w:val="00C25FE5"/>
    <w:rsid w:val="00C273B6"/>
    <w:rsid w:val="00C333E2"/>
    <w:rsid w:val="00C403E0"/>
    <w:rsid w:val="00C410DE"/>
    <w:rsid w:val="00C4222A"/>
    <w:rsid w:val="00C778B6"/>
    <w:rsid w:val="00C967F0"/>
    <w:rsid w:val="00CC0CB6"/>
    <w:rsid w:val="00CC6AFA"/>
    <w:rsid w:val="00CD4756"/>
    <w:rsid w:val="00CE1CDC"/>
    <w:rsid w:val="00CE3140"/>
    <w:rsid w:val="00D07C5A"/>
    <w:rsid w:val="00D10941"/>
    <w:rsid w:val="00D119F8"/>
    <w:rsid w:val="00D11A0D"/>
    <w:rsid w:val="00D11FA9"/>
    <w:rsid w:val="00D27DDA"/>
    <w:rsid w:val="00D40662"/>
    <w:rsid w:val="00D4102A"/>
    <w:rsid w:val="00D43438"/>
    <w:rsid w:val="00D720E1"/>
    <w:rsid w:val="00D7319E"/>
    <w:rsid w:val="00DA2721"/>
    <w:rsid w:val="00DA6D08"/>
    <w:rsid w:val="00DA74D4"/>
    <w:rsid w:val="00DB23A9"/>
    <w:rsid w:val="00DB2DE2"/>
    <w:rsid w:val="00DB6015"/>
    <w:rsid w:val="00DF19C2"/>
    <w:rsid w:val="00DF4E93"/>
    <w:rsid w:val="00DF4FAA"/>
    <w:rsid w:val="00E068C0"/>
    <w:rsid w:val="00E07CAB"/>
    <w:rsid w:val="00E07D60"/>
    <w:rsid w:val="00E2421E"/>
    <w:rsid w:val="00E2648E"/>
    <w:rsid w:val="00E313C1"/>
    <w:rsid w:val="00E42110"/>
    <w:rsid w:val="00E61F7A"/>
    <w:rsid w:val="00E6227A"/>
    <w:rsid w:val="00E63C11"/>
    <w:rsid w:val="00E6508C"/>
    <w:rsid w:val="00E71FDE"/>
    <w:rsid w:val="00E721FF"/>
    <w:rsid w:val="00E76502"/>
    <w:rsid w:val="00E814F9"/>
    <w:rsid w:val="00E8518B"/>
    <w:rsid w:val="00E91145"/>
    <w:rsid w:val="00E91CB9"/>
    <w:rsid w:val="00EC260B"/>
    <w:rsid w:val="00EE1479"/>
    <w:rsid w:val="00F034E9"/>
    <w:rsid w:val="00F11188"/>
    <w:rsid w:val="00F242CC"/>
    <w:rsid w:val="00F2513E"/>
    <w:rsid w:val="00F308FA"/>
    <w:rsid w:val="00F333FB"/>
    <w:rsid w:val="00F43F8F"/>
    <w:rsid w:val="00F46F9F"/>
    <w:rsid w:val="00F62E38"/>
    <w:rsid w:val="00F6703B"/>
    <w:rsid w:val="00F71E97"/>
    <w:rsid w:val="00F73E90"/>
    <w:rsid w:val="00F74599"/>
    <w:rsid w:val="00F75894"/>
    <w:rsid w:val="00F816D1"/>
    <w:rsid w:val="00F90595"/>
    <w:rsid w:val="00F94103"/>
    <w:rsid w:val="00FA1CE6"/>
    <w:rsid w:val="00FB3AF5"/>
    <w:rsid w:val="00FB4C71"/>
    <w:rsid w:val="00FB69A8"/>
    <w:rsid w:val="00FD2D27"/>
    <w:rsid w:val="00FE0423"/>
    <w:rsid w:val="00FE2761"/>
    <w:rsid w:val="00FF6476"/>
    <w:rsid w:val="01052079"/>
    <w:rsid w:val="01B709DD"/>
    <w:rsid w:val="02825959"/>
    <w:rsid w:val="03BE637D"/>
    <w:rsid w:val="06063852"/>
    <w:rsid w:val="060A72E2"/>
    <w:rsid w:val="063756FD"/>
    <w:rsid w:val="068F636D"/>
    <w:rsid w:val="096A6D80"/>
    <w:rsid w:val="096C2283"/>
    <w:rsid w:val="0A9D12CB"/>
    <w:rsid w:val="0BED24F2"/>
    <w:rsid w:val="0C7E090C"/>
    <w:rsid w:val="0D0F6E73"/>
    <w:rsid w:val="0DF76FAE"/>
    <w:rsid w:val="0E3C6B4C"/>
    <w:rsid w:val="103C4234"/>
    <w:rsid w:val="10E8529A"/>
    <w:rsid w:val="11DF5DE1"/>
    <w:rsid w:val="13355434"/>
    <w:rsid w:val="14740A1C"/>
    <w:rsid w:val="14C91507"/>
    <w:rsid w:val="14F447EE"/>
    <w:rsid w:val="17E51656"/>
    <w:rsid w:val="1D2015CB"/>
    <w:rsid w:val="1D6E70D6"/>
    <w:rsid w:val="1FDA0D5B"/>
    <w:rsid w:val="21CE66BC"/>
    <w:rsid w:val="228F54BF"/>
    <w:rsid w:val="231D7D86"/>
    <w:rsid w:val="241F1A4B"/>
    <w:rsid w:val="246A0BC4"/>
    <w:rsid w:val="28544C78"/>
    <w:rsid w:val="2C2A7540"/>
    <w:rsid w:val="2D396DA9"/>
    <w:rsid w:val="2DE47F8D"/>
    <w:rsid w:val="2EBC3384"/>
    <w:rsid w:val="2EEE1C8B"/>
    <w:rsid w:val="30C12E8B"/>
    <w:rsid w:val="332A582E"/>
    <w:rsid w:val="34041CE3"/>
    <w:rsid w:val="341B5D8B"/>
    <w:rsid w:val="35796CB4"/>
    <w:rsid w:val="36DC6F0E"/>
    <w:rsid w:val="38E56968"/>
    <w:rsid w:val="3F0C5EFE"/>
    <w:rsid w:val="3FB1791F"/>
    <w:rsid w:val="411B5C5E"/>
    <w:rsid w:val="44564BBE"/>
    <w:rsid w:val="44B83ECB"/>
    <w:rsid w:val="46AD3081"/>
    <w:rsid w:val="47993F84"/>
    <w:rsid w:val="47BC323F"/>
    <w:rsid w:val="47EC5966"/>
    <w:rsid w:val="491C61DA"/>
    <w:rsid w:val="4CA84651"/>
    <w:rsid w:val="4D7C592E"/>
    <w:rsid w:val="4E3F346D"/>
    <w:rsid w:val="4F7551F0"/>
    <w:rsid w:val="51846903"/>
    <w:rsid w:val="53963F2F"/>
    <w:rsid w:val="54CC3FAC"/>
    <w:rsid w:val="566278C5"/>
    <w:rsid w:val="57616030"/>
    <w:rsid w:val="579730CB"/>
    <w:rsid w:val="582A2734"/>
    <w:rsid w:val="599B1691"/>
    <w:rsid w:val="5BBE58DE"/>
    <w:rsid w:val="5C281CBF"/>
    <w:rsid w:val="5D2972E4"/>
    <w:rsid w:val="5D7E2271"/>
    <w:rsid w:val="5DFD63C2"/>
    <w:rsid w:val="61210CF8"/>
    <w:rsid w:val="62441245"/>
    <w:rsid w:val="62487C4B"/>
    <w:rsid w:val="63D869CC"/>
    <w:rsid w:val="64B300C5"/>
    <w:rsid w:val="67596F0F"/>
    <w:rsid w:val="677D63AA"/>
    <w:rsid w:val="6B8B57FF"/>
    <w:rsid w:val="6D864406"/>
    <w:rsid w:val="6E117582"/>
    <w:rsid w:val="6EB906A3"/>
    <w:rsid w:val="705431DA"/>
    <w:rsid w:val="70B64178"/>
    <w:rsid w:val="71346C20"/>
    <w:rsid w:val="71415055"/>
    <w:rsid w:val="7248108B"/>
    <w:rsid w:val="72B461BC"/>
    <w:rsid w:val="754E7067"/>
    <w:rsid w:val="76EC33A1"/>
    <w:rsid w:val="774F1688"/>
    <w:rsid w:val="77DD4EB4"/>
    <w:rsid w:val="79834501"/>
    <w:rsid w:val="79B85A3F"/>
    <w:rsid w:val="7A7122B6"/>
    <w:rsid w:val="7AAA6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AABC8"/>
  <w15:docId w15:val="{01545400-7621-43CB-9D09-E18CD072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2">
    <w:name w:val="heading 2"/>
    <w:basedOn w:val="a"/>
    <w:next w:val="a"/>
    <w:uiPriority w:val="9"/>
    <w:qFormat/>
    <w:pPr>
      <w:keepNext/>
      <w:keepLines/>
      <w:spacing w:before="100" w:after="100" w:line="560" w:lineRule="exact"/>
      <w:jc w:val="left"/>
      <w:outlineLvl w:val="1"/>
    </w:pPr>
    <w:rPr>
      <w:rFonts w:ascii="等线 Light" w:eastAsia="仿宋_GB2312"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line="220" w:lineRule="atLeast"/>
      <w:jc w:val="left"/>
    </w:pPr>
    <w:rPr>
      <w:rFonts w:ascii="Calibri" w:hAnsi="Calibri" w:cs="Times New Roman"/>
      <w:color w:val="000000"/>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标题 21"/>
    <w:basedOn w:val="a"/>
    <w:next w:val="a"/>
    <w:uiPriority w:val="9"/>
    <w:qFormat/>
    <w:pPr>
      <w:spacing w:line="360" w:lineRule="auto"/>
      <w:jc w:val="center"/>
      <w:outlineLvl w:val="1"/>
    </w:pPr>
    <w:rPr>
      <w:rFonts w:ascii="宋体" w:hAnsi="宋体" w:cs="宋体"/>
      <w:b/>
      <w:sz w:val="28"/>
      <w:szCs w:val="28"/>
    </w:rPr>
  </w:style>
  <w:style w:type="paragraph" w:customStyle="1" w:styleId="210">
    <w:name w:val="标题 21"/>
    <w:basedOn w:val="a"/>
    <w:next w:val="a"/>
    <w:uiPriority w:val="9"/>
    <w:qFormat/>
    <w:pPr>
      <w:spacing w:line="360" w:lineRule="auto"/>
      <w:jc w:val="center"/>
      <w:outlineLvl w:val="1"/>
    </w:pPr>
    <w:rPr>
      <w:rFonts w:ascii="宋体" w:hAnsi="宋体" w:cs="宋体"/>
      <w:b/>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353</cp:revision>
  <dcterms:created xsi:type="dcterms:W3CDTF">2021-11-26T02:45:00Z</dcterms:created>
  <dcterms:modified xsi:type="dcterms:W3CDTF">2024-03-15T07:45:00Z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C50FADB8299B4448BBEE366725C623C5</vt:lpwstr>
  </property>
</Properties>
</file>